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C-2290/2012 vom 15. Januar 2014</w:t>
      </w:r>
    </w:p>
    <w:p>
      <w:r>
        <w:t>Bundesverwaltungsgericht, 2014-01-15, FR</w:t>
      </w:r>
    </w:p>
    <w:p>
      <w:r>
        <w:rPr>
          <w:b/>
        </w:rPr>
        <w:t xml:space="preserve">Quelle: </w:t>
      </w:r>
      <w:r>
        <w:t>https://mcp.opencaselaw.ch/entscheid/bvger_C-2290_2012</w:t>
      </w:r>
    </w:p>
    <w:p>
      <w:r>
        <w:t>FR: TAF C-2290/2012 du 15 janvier 2014</w:t>
      </w:r>
    </w:p>
    <w:p>
      <w:r>
        <w:t>IT: TAF C-2290/2012 del 15 gennaio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2013, 2e édition, ch. 3.197). Aussi peut-elle admettre ou rejeter le pourvoi pour d'autres motifs que ceux invoqués. Dans son arrêt, elle prend en considération l'état de fait existant au moment où elle statue (cf. ATF 2012/21 consid. 5.1).</w:t>
      </w:r>
    </w:p>
    <w:p>
      <w:r>
        <w:rPr>
          <w:b/>
        </w:rPr>
        <w:t>E. 3</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 ce qui n'est pas le cas en l'espèce.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Sur le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circulaires &gt; Domaine des étrangers &gt; Procédure et compétences, version du 25 octobre 2013, site consulté en octobre 2013). Il s'ensuit que ni le Tribunal, ni l'ODM ne sont liés par la décision de l'OCP du 2 mars 2011 de prolonger l'autorisation de séjour dont l'intéressée bénéficiait antérieurement et ils peuvent parfaitement s'écarter de l'appréciation faite par l'autorité cantonale précitée.</w:t>
      </w:r>
    </w:p>
    <w:p>
      <w:r>
        <w:rPr>
          <w:b/>
        </w:rPr>
        <w:t>E. 4.1</w:t>
      </w:r>
    </w:p>
    <w:p>
      <w:r>
        <w:t>En l'espèce, bien que le mariage contracté le 26 octobre 2007 entre A._______ et B._______ a été dissous par le jugement de divorce prononcé le 15 janvier 2013, il ressort des faits que les ex-époux vivaient séparés depuis le mois de septembre 2009. La recourante ne peut donc plus déduire un droit à une autorisation de séjour selon l'art. 42 al. 1 LEtr (cf. arrêts du Tribunal fédéral 2C_1188/2012 du 17 avril 2013 consid. 3.1, 2C_644/2010 du 12 mars 2011 consid. 4.1 et 2C_575/2009 du 1er juin 2010 consid. 3.5 [dans ce dernier cas, la séparation avait duré plus d'une année]).</w:t>
      </w:r>
    </w:p>
    <w:p>
      <w:r>
        <w:rPr>
          <w:b/>
        </w:rPr>
        <w:t>E. 4.2</w:t>
      </w:r>
    </w:p>
    <w:p>
      <w:r>
        <w:t>Compte tenu de ce qui précède, la recourante ne peut pas non plus exciper d'un droit à une autorisation de séjour fondée sur l'art. 8 par. 1 de la Convention du 4 novembre 1950 de sauvegarde des droits de l'homme et des libertés fondamentales (CEDH; RS 0.101), car la jurisprudence subordonne expressément la possibilité d'invoquer cette disposition conventionnelle à l'existence d'une relation étroite et effective avec la personne ayant un droit de présence en Suisse. Or, l'intéressée et son ex-époux ont divorcé et ne font plus ménage commun (cf. notamment ATF 135 I 143 consid. 1.3.1 et 131 II 265 consid. 5).</w:t>
      </w:r>
    </w:p>
    <w:p>
      <w:r>
        <w:rPr>
          <w:b/>
        </w:rPr>
        <w:t>E. 5</w:t>
      </w:r>
    </w:p>
    <w:p>
      <w:r>
        <w:t>Aux termes de l'art. 50 al. 1 let. a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estréussie (let. a) ou - la poursuite du séjour en Suisse s'impose pour des raisons personnelles majeures (let. b).</w:t>
      </w:r>
    </w:p>
    <w:p>
      <w:r>
        <w:rPr>
          <w:b/>
        </w:rPr>
        <w:t>E. 5.1.1</w:t>
      </w:r>
    </w:p>
    <w:p>
      <w:r>
        <w:t>La notion d'union conjugale de l'art. 50 al. 1 let. a LEtr ne se confond pas avec le mariage. Alors que ce dernier peut être purement formel, l'union conjugale ("eheliche Gemeinschaft") implique en principe la vie en commun des époux, sous réserve des exceptions mentionnées à l'art. 49 LEtr (cf. ATF 136 II 113 consid. 3.2 ; voir également l'arrêt du Tribunal fédéral 2C_748/2011 du 11 juin 2012 consid. 2.1). Appelé à se prononcer sur la durée de l'union conjugale d'au moins trois ans requise par l'art. 50 al. 1 let. a LEtr, le Tribunal fédéral a précisé que le moment déterminant était celui où les époux avaient cessé d'habiter ensemble sous le même toit et que la cohabitation devait avoir eu lieu en Suisse et non à l'étranger (cf. ATF 136 II 113 consid. 3.2 in fine et 3.3 ; cf. également les arrêts 2C_594/2010 du 24 novembre 2010 consid. 3.1 et 2C_488/2010 du 2 novembre 2010 consid. 3.2). En d'autres termes, la période de trois ans prévue à l'art. 50 al. 1 let. a LEtr commence à courir à partir du début de la cohabitation des époux en Suisse et se termine au moment où les époux cessent d'habiter ensemble sous le même toit (cf. arrêt du Tribunal fédéral 2C_556/2010 du 2 décembre 2010 consid. 4.1). Le Tribunal fédéral a toutefois souligné que le ménage commun impliquait une vie conjugale effective et une volonté matrimoniale commune des époux ("ein gegenseitiger Ehewille" ; cf. ATF 137 II 345 consid. 3.1.2). Il a ainsi jugé que la période, durant laquelle les conjoints avaient provisoirement continué à cohabiter en attendant de pouvoir se constituer deux domiciles séparés, ne pouvait être prise en compte dans le calcul des trois ans de l'art. 50 al. 1 let. a LEtr, faute de vie conjugale effective (cf. arrêt du Tribunal fédéral 2C_748/2011 précité, consid. 2.1). Par ailleurs, cette durée de trois ans vaut de façon absolue, quand bien même la fin de la vie conjugale serait intervenue quelques jours ou semaines seulement avant l'expiration de ce délai (cf. notamment arrêt du Tribunal fédéral 2C_748/2011 précité, ibid.).</w:t>
      </w:r>
    </w:p>
    <w:p>
      <w:r>
        <w:rPr>
          <w:b/>
        </w:rPr>
        <w:t>E. 5.1.2</w:t>
      </w:r>
    </w:p>
    <w:p>
      <w:r>
        <w:t>En l'espèce, la vie commune des conjoints a duré, à première vue, un peu moins de deux ans, soit du 26 octobre 2007 au 10 septembre 2009 (cf. consid. 4.1 ci-avant). Il s'ensuit que la première condition posée par l'art. 50 al. 1 let. a LEtr, soit celle de la durée de trois ans de l'union conjugale, n'est en l'espèce pas remplie, ce qui n'est d'ailleurs pas contesté par la recourante. Cette condition et celle de l'intégration réussie étant cumulatives (ATF 136 II 113 consid. 3.3.3), il est renoncé à examiner plus avant cette dernière. Partant, A._______ ne saurait se prévaloir de l'art. 50 al. 1 let. a LEtr pour prétendre au renouvellement de son autorisation de séjour.</w:t>
      </w:r>
    </w:p>
    <w:p>
      <w:r>
        <w:rPr>
          <w:b/>
        </w:rPr>
        <w:t>E. 5.2</w:t>
      </w:r>
    </w:p>
    <w:p>
      <w:r>
        <w:t>Selon l'art. 50 al. 1 let. b LEtr, après dissolution de la famille, le conjoint étranger peut obtenir la prolongation de son autorisation de séjour si la poursuite de son séjour en Suisse s'impose pour des raisons personnelles majeures (cf. ATF 137 II 345 consid. 3.2.1). L'art. 50 al. 2 LEtr (cf. aussi art. 77 al. 2 OASA) précise qu'il existe de telles raisons notamment lorsque le conjoint est victime de violence conjugale et que la réintégration sociale dans le pays de provenance semble fortement compromise (ATF 136 II 1 consid. 5). L'énumération de ces cas n'est pas exhaustive et laisse aux autorités une certaine liberté d'appréciation fondée sur des motifs humanitaires (ATF 136 II 1 consid. 5.3).</w:t>
      </w:r>
    </w:p>
    <w:p>
      <w:r>
        <w:rPr>
          <w:b/>
        </w:rPr>
        <w:t>E. 5.2.1</w:t>
      </w:r>
    </w:p>
    <w:p>
      <w:r>
        <w:t>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(cf. ATF 136 II 1 consid. 5.3) et une certaine constance (cf. ATF 138 II 229 consid. 3.2.1 in fine) ; elle peut être de nature tant physique que psychique (arrêt 2C_997/2011 du 3 avril 2012 consid. 4.4.1 et la jurisprudence citée). Une seule gifle ou une attaque verbale à l'occasion d'une dispute ne suffisent toutefois pas. Les contraintes physiques ou psychiques doivent en effet être constitutives d'une maltraitance systématique, visant l'exercice d'une domination sur le conjoint (cf. ATF 138 II 229 précité consid. 3.2.1 "Häusliche Gewalt bedeutet systematische Misshandlung mit dem Ziel, Macht und Kontrolle auszuüben"). Par ailleurs, dans un arrêt rendu en mars 2013 (arrêt du Tribunal fédéral 2C_968/2012 du 22 mars 2013 consid. 3.2 et jurisp. cit.), le Tribunal fédéral a précisé que l'étranger qui se prétend victime de violences conjugales sous l'angle de l'art. 50 al. 1 let. b et al. 2 LEtr est soumis à un devoir de coopération accru. Lorsque des contraintes psychiques sont invoquées, il incombe à la personne d'illustrer de façon concrète et objective ainsi que d'établir par preuves le caractère systématique de la maltraitance, respectivement sa durée, de même que les pressions subjectives qui en résultent. Des affirmations d'ordre général ou des indices faisant état de tensions ponctuelles sont insuffisants.</w:t>
      </w:r>
    </w:p>
    <w:p>
      <w:r>
        <w:rPr>
          <w:b/>
        </w:rPr>
        <w:t>E. 5.2.2</w:t>
      </w:r>
    </w:p>
    <w:p>
      <w:r>
        <w:t>En l'occurrence, le Tribunal constate, à l'instar de l'autorité de première instance, que le dossier de l'intéressée ne contient aucun élément concret, susceptible de retenir qu'elle aurait fait l'objet, de la part de son ex-conjoint, d'une maltraitance systématique, physique et/ou psychique. Tout au long de la procédure, elle s'est contentée d'alléguer des faits qu'elle n'a aucunement étayé par quelque élément probant que ce soit. Ni les différents jugements rendus dans le cadre de la procédure de séparation, ni les certificats médicaux relatifs à son ex-conjoint ne permettent de retenir qu'elle aurait été la victime de violences conjugales. Quant au rapport de police faisant état d'une intervention au domicile des intéressés, le 21 août 2009, il est plutôt défavorable à l'intéressée puisqu'il retient qu'elle a mordu son ex-conjoint. Enfin, pour ce qui a trait à la dépendance à l'alcool de son ex-époux, elle ne saurait permettre au Tribunal d'admettre sans autre que ce dernier maltraitait la recourante, ce d'autant moins qu'aucun élément du dossier permet de corroborer cette affirmation. Force est ainsi de constater que les conditions mises par la jurisprudence - et rappelées au point 5.2.1 ci-avant - ne sont en aucun cas réalisées dans le cas d'espèce, sans qu'il soit nécessaire de procéder à des investigations complémentaires, en particulier à une audition des parties comme semble le requérir l'intéressée dans son mémoire de recours.</w:t>
      </w:r>
    </w:p>
    <w:p>
      <w:r>
        <w:rPr>
          <w:b/>
        </w:rPr>
        <w:t>E. 5.2.3</w:t>
      </w:r>
    </w:p>
    <w:p>
      <w:r>
        <w:t>Quant à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136 II 1 précité, ibid.; cf. également les arrêts du Tribunal fédéral 2C_289/2012 précité, consid. 4.2.4, et 2C_748/2011 précité,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 cf. également FF 2002 II 3511). S'agissant de la réintégration sociale de la recourante en Thaïlande, elle n'apparaît pas fortement compromise, dès lors qu'elle y a passé les vingt-quatre premières années de sa vie, soit son enfance, son adolescence et le début de sa vie d'adulte, années qui apparaissent comme essentielles pour la formation de la personnalité et, partant, pour l'intégration sociale et culturelle (voir à ce sujet ATAF 2007/45 consid. 7.6 et la jurisprudence citée), et qu'elle y a travaillé, avant de quitter son pays pour la Suisse. En comparaison, elle n'a séjourné en Suisse qu'un peu plus de six ans et si elle a certes travaillé dans ce dernier pays, son parcours professionnel n'est en rien exceptionnel. En effet, elle exerce un emploi depuis avril 2010, dans un environnement dont il est permis de penser qu'il lui est proche et ne nécessite pas d'efforts d'intégration, puisqu'il s'agit du E._______, dont le site internet met en avant la qualité des massages dispensés dans la plus pure tradition thaïlandaise. Par ailleurs, et même si la recourante a déclaré ne plus avoir de contacts avec ses proches (son fils et ses amis, restés en Thaïlande), il peut être attendu de sa part qu'elle renoue des liens avec ces personnes, afin de faciliter sa réinstallation dans son pays d'origine. Dans ces circonstances, le Tribunal ne saurait suivre la recourante lorsqu'elle exclut un retour dans son pays d'origine ou invoque un effet désastreux sur sa santé psychique. S'agissant de ce dernier point, force est de relever au demeurant qu'il n'est nullement étayé sur le plan médical. Aussi, il convient de retenir l'existence d'une possibilité de réintégration dans l'Etat de provenance de l'intéressée.</w:t>
      </w:r>
    </w:p>
    <w:p>
      <w:r>
        <w:rPr>
          <w:b/>
        </w:rPr>
        <w:t>E. 5.3</w:t>
      </w:r>
    </w:p>
    <w:p>
      <w:r>
        <w:t>Quant aux éléments non encore examinés à prendre en considération conformément à l'art. 31 OASA, le Tribunal constate, au vu de ce qui précède, que l'intégration professionnelle de la recourante ne revêt pas un caractère exceptionnel. Il en va de même de son intégration sociale, qui ne dépasse pas ce que l'on est en droit d'attendre d'un étranger résidant en Suisse depuis un peu plus de six ans. Quant à son état de santé, il paraît bon étant relevé encore une fois que les allégations de problèmes psychiques ne sont aucunement étayées. Par ailleurs, exception faite de la fiche de renseignements rédigée le 25 août 2009, il convient de retenir que la recourante respecte l'ordre juridique suisse. Par contre, n'ayant pas d'enfants en Suisse, elle ne peut se prévaloir d'une situation familiale particulière. Il ressort de ce qui précède que l'examen de la cause à la lumière des critères de l'art. 31 al. 1 OASA ne permet pas non plus de conclure à l'existence de raisons personnelles majeures au sens de l'art. 50 al. 1 let. b LEtr. Il sied au passage de relever que dans ces circonstances, il n'y a dès lors plus place pour un examen des conditions d'un cas individuel d'une extrême gravité à la lumière de l'art. 30 al. 1 let. b LEtr.</w:t>
      </w:r>
    </w:p>
    <w:p>
      <w:r>
        <w:rPr>
          <w:b/>
        </w:rPr>
        <w:t>E. 6.1</w:t>
      </w:r>
    </w:p>
    <w:p>
      <w:r>
        <w:t>Dans son mémoire, la recourante fait encore valoir qu'elle entretient depuis un certain temps une relation avec un nouveau compagnon, avec lequel elle a le projet de refaire sa vie en commun. Selon l'art. 8 par. 1 CEDH, un étranger peut, selon les circonstances, se prévaloir du droit au respect de la vie privée et familiale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135 I 143 consid. 1.3.1 ; ATAF 2007/45 consid. 5.3 et les références citées). D'après la jurisprudence, les relations visées par l'art. 8 CEDH sont avant tout celles qui concernent la famille dite nucléaire, soit celles qui existent entre époux ainsi qu'entre parents et enfants mineurs vivant en ménage commun (ATF 135 précité, consid. 1.3.2 et les références citées). Sous réserve de circonstances particulières - soit lorsque le couple entretient depuis longtemps des relations étroites et effectivement vécues et qu'il existe des indices concrets d'un mariage sérieusement voulu et imminent, faisant suite à une relation intense durant depuis longtemps, comme la publication des bans du mariage telle qu'elle était exigée jusqu'à la modification du 26 juin 1998 du Code civil suisse du 10 décembre 1907 (CC ; RS 210) - les fiancés ou les concubins ne sont pas habilités à invoquer l'art. 8 CEDH. D'une manière générale, il faut que les relations entre les concubins puissent, par leur nature et leur stabilité, être assimilées à une véritable union conjugale pour pouvoir bénéficier de la protection de l'art. 8 par. 1 CEDH. Une cohabitation d'un an et demi n'est, en principe, pas propre à fonder un tel droit (cf. arrêt du Tribunal administratif fédéral C-6584/2008 du 26 juillet 2011, consid. 10.2, et les arrêts cités).</w:t>
      </w:r>
    </w:p>
    <w:p>
      <w:r>
        <w:rPr>
          <w:b/>
        </w:rPr>
        <w:t>E. 6.2</w:t>
      </w:r>
    </w:p>
    <w:p>
      <w:r>
        <w:t>En l'espèce, la recourante n'est pas habilitée à se prévaloir de la protection offerte par les art. 8 CEDH et 13 Cst. En effet, si elle a bien allégué dans son mémoire de recours avoir un concubin, avec lequel elle entretiendrait une relation stable et assimilable à une union conjugale et que tous deux projetteraient de se marier d'ici peu, force est de constater que cette relation n'est aucunement établie par pièce. Ainsi, elle n'a fourni aucun élément quant à l'identité de son partenaire, son statut en Suisse ni n'a présenté de témoignages quant à la réalité de l'union qu'elle a déclaré former avec son partenaire. Certes, il ressort du dossier cantonal qu'elle a emménagé le 1er mai 2011 chez G._______ et ce dernier a confirmé ce fait. Mais ce document ne saurait fonder l'existence d'une relation étroite et effectivement vécue entre l'intéressée et le prénommé ni augurer d'un mariage sérieusement voulu et imminent, conditions nécessaires pour se prévaloir de l'art. 8 CEDH.</w:t>
      </w:r>
    </w:p>
    <w:p>
      <w:r>
        <w:rPr>
          <w:b/>
        </w:rPr>
        <w:t>E. 6.3</w:t>
      </w:r>
    </w:p>
    <w:p>
      <w:r>
        <w:t>En considération de ce qui précède, le Tribunal est amené à conclure que l'ODM n'a ni excédé ni abusé de son pouvoir d'appréciation, en retenant que la recourante ne remplissait pas les conditions des art. 50 LEtr, et 31 OASA, et en refusant de donner son approbation à la prolongation de son autorisation de séjour.</w:t>
      </w:r>
    </w:p>
    <w:p>
      <w:r>
        <w:rPr>
          <w:b/>
        </w:rPr>
        <w:t>E. 7</w:t>
      </w:r>
    </w:p>
    <w:p>
      <w:r>
        <w:t>La recourante n'obtenant pas d'autorisation de séjour en Suisse, c'est également à bon droit que l'autorité inférieure a prononcé son renvoi (art. 64 al. 1 let. c LEtr entré en vigueur le 1er janvier 2011, RO 2010 5925 ;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w:t>
      </w:r>
    </w:p>
    <w:p>
      <w:r>
        <w:rPr>
          <w:b/>
        </w:rPr>
        <w:t>E. 7.1</w:t>
      </w:r>
    </w:p>
    <w:p>
      <w:r>
        <w:t>En outre, A._______ n'a pas démontré l'existence d'obstacles à son retour en Thaïlande et le dossier ne fait pas non plus apparaître que l'exécution de ce renvoi serait impossible, illicite ou inexigible au sens de l'art. 83 al. 2 à 4 LEtr. Dès lors, c'est à juste titre que l'ODM a ordonné l'exécution de cette mesure.</w:t>
      </w:r>
    </w:p>
    <w:p>
      <w:r>
        <w:rPr>
          <w:b/>
        </w:rPr>
        <w:t>E. 8</w:t>
      </w:r>
    </w:p>
    <w:p>
      <w:r>
        <w:t>Il ressort de ce qui précède que, par sa décision du 8 mars 2012, l'ODM n'a ni violé le droit fédéral, ni constaté des faits pertinents de manière inexacte ou incomplète; en outre, la décision attaquée n'est pas inopportune (cf. art. 49 PA). Le recours est en conséquence rejeté.</w:t>
      </w:r>
    </w:p>
    <w:p>
      <w:r>
        <w:rPr>
          <w:b/>
        </w:rPr>
        <w:t>E. 9</w:t>
      </w:r>
    </w:p>
    <w:p>
      <w:r>
        <w:t>Vu l'issue de la cause, il y a lieu de mettre les frais de procédure à la charge de la recourante, conformément à l'art. 63 al. 1 PA en relation avec l'art.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