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C-228/2013 vom 14. Mai 2014</w:t>
      </w:r>
    </w:p>
    <w:p>
      <w:r>
        <w:t>Bundesverwaltungsgericht, 2014-05-14, FR</w:t>
      </w:r>
    </w:p>
    <w:p>
      <w:r>
        <w:rPr>
          <w:b/>
        </w:rPr>
        <w:t xml:space="preserve">Quelle: </w:t>
      </w:r>
      <w:r>
        <w:t>https://mcp.opencaselaw.ch/entscheid/bvger_C-228_2013</w:t>
      </w:r>
    </w:p>
    <w:p>
      <w:r>
        <w:t>FR: TAF C-228/2013 du 14 mai 2014</w:t>
      </w:r>
    </w:p>
    <w:p>
      <w:r>
        <w:t>IT: TAF C-228/2013 del 14 maggio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rente ayant abouti à l'octroi d'une demi-rente d'invalidité limitée dans le temps pour la période du 1er septembre 2006 au 31 août 2009 selon l'arrêt du Tribunal administratif fédéral du 3 octobre 2011, confirmé par l'arrêt du 18 avril 2012 du Tribunal fédéral.</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4.5</w:t>
      </w:r>
    </w:p>
    <w:p>
      <w:r>
        <w:t>En l'espèce, l'OAIE a rendu une décision de refus d'entrer en matière parce qu'il a estimé qu'il n'était pas établi de manière plausible que l'invalidité s'était modifiée de manière à influencer le droit aux prestations depuis la suppression de la demi-rente au 31 août 2009. L'assurée elle-même ne fait pas valoir de péjoration de son état de santé depuis août 2009, mais réitère qu'elle présente une incapacité de travail justifiant l'octroi de prestations. Le Tribunal de céans constate que le recourante ne produit aucun document médical attestant une aggravation de son état de santé, mais fait valoir qu'elle est incapable de travailler depuis des années et conteste ainsi la limitation au 31 août 2009 de la demi-rente d'invalidité. Or, vu l'arrêt du Tribunal administratif fédéral du 3 octobre 2011, confirmé par l'arrêt du 18 avril 2012 du Tribunal fédéral, il est établi que l'assurée n'avait plus de droit à une rente d'invalidité à partir du 1er septembre 2009. Selon les pièces médicales versées au dossier, il n'est pas établi de manière plausible que l'invalidité se soit modifiée de manière à influencer le droit aux prestations depuis la suppression de la demi-rente d'invalidité au 31 août 2009. En effet, les certificats médicaux déjà déposés et pris en compte lors de la première procédure de recours devant le Tribunal administratif fédéral, sont irrelevants pour déterminer une modification de la situation médicale de l'intéressée. C'est donc à raison que l'OAIE n'est pas entré en matière sur la nouvelle demande dans la décision attaquée.</w:t>
      </w:r>
    </w:p>
    <w:p>
      <w:r>
        <w:rPr>
          <w:b/>
        </w:rPr>
        <w:t>E. 5.1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5.2</w:t>
      </w:r>
    </w:p>
    <w:p>
      <w:r>
        <w:t>Les frais de procédure, fixés à 400 francs, sont mis à la charge de la recourante (art. 63 al. 1 PA, applicable par le truchement de l'art. 37 LTAF). Ils sont prélevés sur l'avance de frais du même montant dont elle s'est acquittée au cours de l'instruction.</w:t>
      </w:r>
    </w:p>
    <w:p>
      <w:r>
        <w:rPr>
          <w:b/>
        </w:rPr>
        <w:t>E. 5.3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