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C-228/2006 vom 18. Oktober 2007</w:t>
      </w:r>
    </w:p>
    <w:p>
      <w:r>
        <w:t>Bundesverwaltungsgericht, 2007-10-18, FR</w:t>
      </w:r>
    </w:p>
    <w:p>
      <w:r>
        <w:rPr>
          <w:b/>
        </w:rPr>
        <w:t xml:space="preserve">Quelle: </w:t>
      </w:r>
      <w:r>
        <w:t>https://mcp.opencaselaw.ch/entscheid/bvger_C-228_2006</w:t>
      </w:r>
    </w:p>
    <w:p>
      <w:r>
        <w:t>FR: TAF C-228/2006 du 18 octobre 2007</w:t>
      </w:r>
    </w:p>
    <w:p>
      <w:r>
        <w:t>IT: TAF C-228/2006 del 18 ottobre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d'exception aux mesures de limitation prononcées par l'ODM sont susceptibles de recours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1.2</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1.3</w:t>
      </w:r>
    </w:p>
    <w:p>
      <w:r>
        <w:t>A._______, qui est directement touchée par la décision entreprise, a qualité pour recourir (cf. art. 20 al. 1 LSEE et art. 48 PA). Présenté dans la forme et les délais prescrits par la loi, le recours est recevable (cf. art. 50 et art. 52 PA).</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en relation avec l'art. 18 al. 4 et l'art. 25 al. 1 LSEE). 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(cf. art. 13 let. f OLE).</w:t>
      </w:r>
    </w:p>
    <w:p>
      <w:r>
        <w:rPr>
          <w:b/>
        </w:rPr>
        <w:t>E. 3</w:t>
      </w:r>
    </w:p>
    <w:p>
      <w:r>
        <w:t>A ce propos, il sied de relever que ni l'ODM, ni a fortiori le TAF, ne sont liés par l'appréciation émise par les autorités cantonales de police des étrangers en matière d'exemption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w:t>
      </w:r>
    </w:p>
    <w:p>
      <w:r>
        <w:rPr>
          <w:b/>
        </w:rPr>
        <w:t>E. 4.1</w:t>
      </w:r>
    </w:p>
    <w:p>
      <w:r>
        <w:t>L'art. 13 let. f OLE, qui prévoit une exception aux mesures de limitation du nombre des étrangers,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 Il découle de la formulation de l'art. 13 let. f OLE que cette disposition dérogatoire présente un caractère exceptionnel et que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restrictions des nombres maximums comporte pour lui de graves conséquences. Lors de l'appréciation d'un cas de rigueur,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exception aux mesures de limitation du nombre des étrangers (cf. ATF 130 II 39 consid. 3 p. 41s., ATF 128 II 200 consid. 4 p. 207s., ATF 124 II 110 consid. 2 p. 111s., ATF 123 II 125 consid. 2 p. 126s., et la jurisprudence citée; Alain Wurzburger, La jurisprudence récente du Tribunal fédéral en matière de police des étrangers, Revue de droit administratif et fiscal [RDAF] I 1997 p. 267ss). 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(cf. ATF 124 II 110 consid. 3 p. 113).</w:t>
      </w:r>
    </w:p>
    <w:p>
      <w:r>
        <w:rPr>
          <w:b/>
        </w:rPr>
        <w:t>E. 4.2</w:t>
      </w:r>
    </w:p>
    <w:p>
      <w:r>
        <w:t>S'agissant des séjours effectués sans autorisation idoine, le Tribunal fédéral a eu l'occasion de préciser que, de manière générale, de tels séjours ne devaient pas être pris en compte dans l'examen d'un cas de rigueur, respectivement que la longue durée d'un séjour en Suisse n'était pas un élément constitutif d'un cas personnel d'extrême gravité dans la mesure où ce séjour était illégal. Sinon, l'obstination à violer la législation en vigueur serait en quelque sorte récompensée. La Haute Cour a relevé qu'il importait dès lors d'examiner si le requérant se trouvait pour d'autres raisons dans un état de détresse justifiant de l'excepter des mesures de limitation du nombre des étrangers et qu'il y avait lieu, pour cela, de se fonder sur les relations familiales de l'intéressé (en Suisse et dans sa patrie), sur sa situation professionnelle, sur son intégration sociale, sur son état de santé, etc. (cf. ATF 130 II précité, consid. 3 ; cf. également les ATF 2A.45/2007 du 17 avril 2007 consid. 5, 2A.718/2006 du 21 mars 2007 consid. 3, 2A.586/2006 du 6 décembre 2006 consid. 2.1 et 2A.573/2005 du 6 février 2006 consid. 3.1). Il ressort notamment de la jurisprudence précitée que l'art. 13 let. f OLE n'est pas en premier lieu destiné à régulariser la situation des personnes arrivées clandestinement en Suisse. Il convient en effet d'appliquer à cette catégorie d'étrangers les mêmes critères qu'aux autres étrangers. Le fait que certains étrangers aient opté pour l'illégalité peut les desservir, au regard des conditions d'une exception aux mesures de limitation du nombre des étrangers. Ainsi, la durée du séjour illégal qu'ils ont effectué en Suisse n'est pas prise en considération. De même, il n'y a pas lieu de définir à leur intention un critère particulier d'intégration sociale, pour tenir compte des difficultés inhérentes à la condition de clandestin, et de leur accorder sous cet angle un traitement de faveur - par rapport aux étrangers qui ont toujours séjourné en Suisse en respectant les prescriptions de police des étrangers - dans l'application de la disposition précitée (cf. ATF 130 II précité, consid. 5.4).</w:t>
      </w:r>
    </w:p>
    <w:p>
      <w:r>
        <w:rPr>
          <w:b/>
        </w:rPr>
        <w:t>E. 5.1</w:t>
      </w:r>
    </w:p>
    <w:p>
      <w:r>
        <w:t>En l'espèce, A._______ se prévaut de la durée prolongée de son séjour en Suisse (de plus de sept ans et demi), ainsi que de la présence en Suisse du père de sa fille.</w:t>
      </w:r>
    </w:p>
    <w:p>
      <w:r>
        <w:rPr>
          <w:b/>
        </w:rPr>
        <w:t>E. 5.2</w:t>
      </w:r>
    </w:p>
    <w:p>
      <w:r>
        <w:t>Entrée en Suisse dans le cadre d'un visa touristique valable 7 jours, la recourante est en réalité venue en Suisse pour s'y établir et pour y exercer une activité lucrative. Dans ces circonstances, elle avait l'obligation de solliciter, avant sa venue sur le territoire helvétique, la délivrance d'une autorisation d'entrée (visa) et de séjour à l'année en vue d'une prise d'emploi (cf. art. 11 al. 2 de l'ordonnance du 14 janvier 1998 concernant l'entrée et la déclaration d'arrivée des étrangers [OEArr, RS 142.211]), démarche qu'elle s'est dispensée d'accomplir pour mettre les autorités suisses devant le fait accompli. Force est dès lors de constater que la recourante est venue illégalement en Suisse. En outre, elle a gravement enfreint les prescriptions de police des étrangers en séjournant et travaillant dans ce pays sans autorisation (cf. Jurisprudence des autorités administratives de la Confédération [JAAC] 63.38 et 63.2), après avoir pourtant confirmé, par un courrier de ses employeurs du 4 juillet 2000, son intention de quitter la Suisse le 11 juillet 2000. Enfin, depuis le dépôt de sa demande de régularisation au mois de février 2005, elle demeure sur le territoire helvétique au bénéfice d'une simple tolérance cantonale, un statut à caractère provisoire et aléatoire (sur la notion de séjour régulier, cf. ATF 120 Ib 360 consid. 3b p. 367). Or, ainsi que le Tribunal fédéral a eu l'occasion de le préciser, un séjour illégal ou précaire en Suisse ne saurait être considéré comme un élément constitutif d'un cas personnel d'extrême gravité (cf. ATF 2A.540/2005 du 11 novembre 2005 consid. 3.2.1; cf. également consid. 4.2 supra). A ce propos, il sied en outre de relever que la possibilité offerte à l'intéressée par l'OCP de prendre un emploi relève également d'une pure tolérance cantonale, et que, de surcroît, cette situation n'est pas conforme à la législation fédérale en matière de police des étrangers (cf. art. 3 al. 3 LSEE, en relation avec l'art. 1 al. 1 a contrario ainsi que l'art. 3 al. 3 RSEE). Dans ces circonstances, A._______ ne saurait tirer parti de la durée de son séjour en Suisse pour bénéficier d'une exception aux mesures de limitation du nombre des étrangers.</w:t>
      </w:r>
    </w:p>
    <w:p>
      <w:r>
        <w:rPr>
          <w:b/>
        </w:rPr>
        <w:t>E. 6.1</w:t>
      </w:r>
    </w:p>
    <w:p>
      <w:r>
        <w:t>Cela étant, il convient d'examiner si des critères d'évaluation autres que la seule durée du séjour sur le territoire helvétique seraient de nature à faire admettre qu'un départ de Suisse placerait la recourante et sa fille dans une situation particulièrement rigoureuse.</w:t>
      </w:r>
    </w:p>
    <w:p>
      <w:r>
        <w:rPr>
          <w:b/>
        </w:rPr>
        <w:t>E. 6.2</w:t>
      </w:r>
    </w:p>
    <w:p>
      <w:r>
        <w:t>A ce propos, le dossier révèle que A._______, hormis le fait qu'elle a gravement enfreint les prescriptions de police des étrangers (cf. consid. 5.1 supra), a apparemment eu un comportement irréprochable durant son séjour en Suisse. Elle n'a, à tout le moins, jamais connu de démêlés avec la justice ou les services de police, ni eu recours à l'assistance publique. S'il n'est pas contesté que la recourante a tissé des liens avec la Suisse et qu'elle a consenti des efforts pour se prendre en charge, il n'en demeure pas moins que son intégration socioprofessionnelle dans ce pays ne revêt nullement un caractère exceptionnel. Il apparaît en effet que l'intéressée a occupé des emplois dans l'économie domestique et qu'elle ne s'est pas bâti en Suisse une existence économique durable, dès lors qu'elle a également vécu durant une longue période à la charge de l'Armée du Salut. De plus, au regard de la nature des emplois qu'elle a exercés en Suisse, elle n'a pas acquis de connaissances ou de qualifications spécifiques qu'il ne lui serait pas possible de mettre à profit dans sa patrie. Sur un autre plan, force est de constater que la recourante n'a pas de parenté en Suisse. En tout état de cause, il ne faut pas perdre de vue que A._______, qui est arrivée en Suisse alors qu'elle était âgée de 31 ans, a passé la majeure partie de son existence aux Philippines, notamment son adolescence et une partie importante de sa vie d'adulte, période durant laquelle se forge la personnalité, en fonction notamment de l'environnement socioculturel (cf. ATF 123 II 125 consid. 5b/aa p. 132). C'est dans ce pays qu'elle a toutes ses racines. Dans ces conditions, le Tribunal ne saurait admettre que son séjour sur le territoire helvétique ait été suffisamment long pour la rendre étrangère à sa patrie au point qu'elle ne serait plus en mesure, après une période d'adaptation, d'y retrouver ses repères, ce d'autant plus qu'elle a encore des attaches familiales dans son pays en la personne de ses parents et de ses frère et soeurs.</w:t>
      </w:r>
    </w:p>
    <w:p>
      <w:r>
        <w:rPr>
          <w:b/>
        </w:rPr>
        <w:t>E. 6.3</w:t>
      </w:r>
    </w:p>
    <w:p>
      <w:r>
        <w:t>Le Tribunal n'ignore pas que le retour de la recourante aux Philippines, après un séjour de près de huit ans en Suisse, ne sera pas exempt de difficultés. Rien ne permet toutefois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C'est le lieu de rappeler ici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sauf si l'intéressé allègue d'importantes difficultés concrètes propres à son cas particulier, telle une maladie grave ne pouvant être soignée qu'en Suisse, par exemple, ce qui n'est pas le cas en l'espèce. La reconnaissance d'un cas personnel d'extrême gravité ne tend pas davantage à protéger l'étranger contre les conséquences de la guerre ou des abus des autorités étatiques, des considérations de cet ordre relevant en effet de la procédure d'asile, respectivement de l'examen de l'exigibilité de l'exécution d'un renvoi entré en force (cf. ATF 123 II 125 consid. 3 et 5b/dd et la jurisprudence citée).</w:t>
      </w:r>
    </w:p>
    <w:p>
      <w:r>
        <w:rPr>
          <w:b/>
        </w:rPr>
        <w:t>E. 7.1</w:t>
      </w:r>
    </w:p>
    <w:p>
      <w:r>
        <w:t>Invoquant le droit au respect de la vie privée et familiale garanti par l'art. 8 de la Convention de sauvegarde des droits de l'homme et des libertés fondamentales du 4 novembre 1950 (CEDH; RS 0.101), la recourante a allégué qu'un départ de Suisse priverait sa fille de la possibilité de maintenir des relations étroites avec son père, D._______, un ressortissant autrichien titulaire d'une autorisation d'établissement avec lequel elle avait eu une brève liaison il y a quelques années.</w:t>
      </w:r>
    </w:p>
    <w:p>
      <w:r>
        <w:rPr>
          <w:b/>
        </w:rPr>
        <w:t>E. 7.2</w:t>
      </w:r>
    </w:p>
    <w:p>
      <w:r>
        <w:t>Un étranger peut, selon les circonstances, se prévaloir du droit au respect de sa vie privée et familiale au sens de l'art. 8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("ein gefestigtes Anwesenheitsrecht"), soit d'un droit certain à l'obtention ou à la prolongation d'une autorisation de séjour, à savoir posséder en principe la citoyenneté helvétique ou disposer d'une autorisation d'établissement (cf. sur ce point ATF 129 II 193 consid. 5.3.1, 129 II 215 consid. 4.1, 127 II 60 consid. 1d/aa, 126 II 425; 122 II 5 consid. 1e, 289 consid. 1c, 389 consid. 1c). Cette disposition conventionnelle protège le droit au respect de la vie privée et familiale, mais elle n'a cependant aucune portée propre dans le cadre de la présente procédure de recours. En effet, même si la fille de la recourante pouvait en déduire un droit de séjourner en Suisse, il n'en résulterait pas nécessairement qu'elle dût échapper, en vertu de l'art. 13 let. f OLE, aux mesures de limitation du nombre des étrangers. Inversement, l'art. 8 CEDH ne peut être directement violé dans la procédure relative à l'assujettissement aux mesures de limitation, puisque la décision qui est prise ne porte pas sur le droit de séjourner en Suisse. En revanche, les critères découlant de l'art. 8 CEDH peuvent être pris en considération pour examiner si l'on est en présence d'un cas personnel d'extrême gravité, au sens de l'art. 13 let. f OLE, dans la mesure où des motifs d'ordre familial seraient liés à cette situation (cf. arrêts du Tribunal fédéral 2A.474/2001 du 15 février 2002, consid. 4; 2A.145/2001 du 7 mai 2001, consid. 2; 2A.336/2000 du 4 octobre 2000, consid. 2; 2A.294/2000 du 7 septembre 2000, consid. 2; 2A.206/2000 du 24 juillet 2000 consid. 2). Le droit au respect de la vie privée et familiale garanti par l'art. 8 § 1 CEDH n'est par ailleurs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p. 5/6 ; 120 Ib 22 consid. 4a p. 25). Il faut qu'il existe des liens familiaux particulièrement forts dans les domaines affectif et économique pour que l'intérêt public à une politique restrictive en matière de séjour des étrangers et d'immigration passe au second plan (ATF 120 Ib 1 consid. 3c p. 5). D'après la jurisprudence du Tribunal fédéral, les relations familiales protégées en vertu de l'art. 8 § 1 CEDH sont avant tout les rapports entre époux ainsi qu'entre parents et enfants mineurs vivant en ménage commun (ATF 127 II 60 consid. 1d/aa, 122 II 289 consid. 1c). L'art. 13 al. 1 de la Constitution fédérale de la Confédération suisse du 18 avril 1999 (Cst.; RS 101) garantit la même protection (ATF 129 II 215 consid. 4). S'agissant des liens entre parents et enfants, il convient de relever que le parent qui n'a pas l'autorité parentale peut invoquer la protection de sa vie familiale dans le cadre de l'exercice du droit de visite, lorsqu'il entretient une relation intacte avec son enfant, même si ce dernier n'est pas placé sous son autorité parentale ou sous sa garde du point de vue du droit de famille (ATF 120 Ib 1 consid. 1 et 3, 120 Ib 22 consid. 4 et références citées; Wurzburger, op. cit., p. 285).</w:t>
      </w:r>
    </w:p>
    <w:p>
      <w:r>
        <w:rPr>
          <w:b/>
        </w:rPr>
        <w:t>E. 7.3</w:t>
      </w:r>
    </w:p>
    <w:p>
      <w:r>
        <w:t>En l'espèce, les allégations de la recourante, selon lesquelles sa fille B._______ entretiendrait des relations régulières avec son père, ne sont étayées d'aucune pièce probante. De plus, invitée en cours de procédure à informer le Tribunal de l'évolution de sa situation et de celle de sa fille depuis le dépôt du recours, A._______ n'a pas réagi. Dans ces circonstances, il n'apparaît pas établi que la fille de la recourante entretiendrait encore avec son père une relation familiale étroite et effective, susceptible de fonder la protection de l'art. 8 CEDH et de reléguer à l'arrière-plan l'intérêt public à une politique restrictive en matière de séjour des étrangers (cf. arrêt du Tribunal fédéral 2A.392/2005 du 5 août 2005). Cette question peut toutefois demeurer indécise: le Tribunal considère en effet que, même dans l'hypothèse où B._______ entretiendrait des relations avec son père, son intérêt privé à la poursuite de ces relations ne serait à lui seul pas suffisant à fonder l'octroi d'une exception aux mesures de limitation à elle-même et à sa mère. Malgré les relations prétendument entretenues avec son père, il convient d'admettre que les liens qui unissent B._______ à sa mère sont largement prépondérants, compte tenu de son jeune âge. A cela s'ajoute que B._______, âgée d'à peine 5 ans, ne jouit pas d'une intégration particulière au milieu socioculturel suisse. Dans ces conditions, on ne saurait admettre qu'un départ pour les Philippines représenterait pour elle un déracinement. Au contraire, comme tous les enfants en bas âge, elle serait en mesure de s'adapter sans difficultés à son nouvel environnement. S'agissant des contacts avec son père, ils seraient certes rendus plus difficiles par son départ de Suisse. Ils ne seraient toutefois pas exclus, un droit de visite pouvant en principe être exercé même si le parent concerné (non détenteur de l'autorité parentale, respectivement non titulaire du droit de garde) ne vit pas dans le pays de résidence de l'enfant, en aménageant les modalités du droit de visite en conséquence, notamment en ce qui concerne sa fréquence et sa durée (cf. ATF 120 Ib 22 consid. 4a p. 25; cf. également les ATF 2A.83/2007 du 16 mai 2007 consid. 3.2, 2A.614/2005 du 20 janvier 2006 consid. 4.2.1, et la jurisprudence citée). Le dossier ne fait par ailleurs pas apparaître l'existence de circonstances personnelles extraordinaires, spécifiques à la recourante et à sa fille, qui s'opposeraient à leur départ de Suisse. Dans ces circonstances, le Tribunal considère qu'une appréciation de la cause à l'aune des principes découlant de l'art. 8 CEDH ne saurait non plus justifier une exception des nombres maximums fixés par le Conseil fédéral.</w:t>
      </w:r>
    </w:p>
    <w:p>
      <w:r>
        <w:rPr>
          <w:b/>
        </w:rPr>
        <w:t>E. 8</w:t>
      </w:r>
    </w:p>
    <w:p>
      <w:r>
        <w:t>Il ressort de ce qui précède que, par sa décision du 28 octobre 2005, l'ODM n'a ni violé le droit fédéral, ni constaté des faits pertinents de manière inexacte ou incomplète ; en outre, la décision attaquée n'est pas inopportune (cf. art. 49 PA). Partant, le recours doit être rejeté. 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