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C-2281/2015 vom 27. Januar 2017</w:t>
      </w:r>
    </w:p>
    <w:p>
      <w:r>
        <w:t>Bundesverwaltungsgericht, 2017-01-27, DE</w:t>
      </w:r>
    </w:p>
    <w:p>
      <w:r>
        <w:rPr>
          <w:b/>
        </w:rPr>
        <w:t xml:space="preserve">Quelle: </w:t>
      </w:r>
      <w:r>
        <w:t>https://mcp.opencaselaw.ch/entscheid/bvger_C-2281_2015</w:t>
      </w:r>
    </w:p>
    <w:p>
      <w:r>
        <w:t>FR: TAF C-2281/2015 du 27 janvier 2017</w:t>
      </w:r>
    </w:p>
    <w:p>
      <w:r>
        <w:t>IT: TAF C-2281/2015 del 27 gennaio 2017</w:t>
      </w:r>
    </w:p>
    <w:p>
      <w:pPr>
        <w:pStyle w:val="Heading2"/>
      </w:pPr>
      <w:r>
        <w:t>Regeste</w:t>
      </w:r>
    </w:p>
    <w:p>
      <w:r>
        <w:t>Rückvergütung von Beiträgen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ist eine Vorinstanz im Sinne von Art. 33 Bst. d VGG (vgl. Art. 85bis Abs. 1 Bst. b des Bundesgesetzes vom 20. Dezember 1946 über die Alters- und Hinterlassenenversicherung [AHVG, SR 831.10]). Der Einspracheentscheid der Schweizerischen Ausgleichskasse vom 19. März 2015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wurde dem Beschwerdeführer am 27. März 2015 zugestellt (act. 43, 44). Die Beschwerdeschrift wurde gemäss Poststempel am 30. März 2015 aufgegeben und ging am 14. April 2015 beim Bundesverwaltungsgericht ein (BVGer act. 1). Die Beschwerde wurde fristgerecht innerhalb von dreissig Tagen eingereicht (Art. 60 ATSG).</w:t>
      </w:r>
    </w:p>
    <w:p>
      <w:r>
        <w:rPr>
          <w:b/>
        </w:rPr>
        <w:t>E. 1.4</w:t>
      </w:r>
    </w:p>
    <w:p>
      <w:r>
        <w:t>Die Beschwerde enthält zumindest sinngemäss einen Antrag und eine Begründung und wurde vom Beschwerdeführer unterschrieben. Den Einspracheentscheid vom 19. März 2015 und weitere Beweismittel legte er bei (BVGer act. 1). Speziell bei Eingaben, die von juristischen Laien formuliert werden, dürfen in sprachlicher und formeller Hinsicht keine allzu strengen Anforderungen gestellt werden (Moser/Beusch/Kneubühler, Prozessieren vor dem Bundesverwaltungsgericht, 2. Aufl. 2013, S. 120 Rz. 2.211, S. 123 Rz. 2.219). Die Beschwerde wurde formgerecht eingereicht (Art. 52 Abs. 1 VwVG). Auf die Beschwerde ist somit - unter Vorbehalt der nachfolgenden Erwägungen 1.5 und 1.6 - einzutreten.</w:t>
      </w:r>
    </w:p>
    <w:p>
      <w:r>
        <w:rPr>
          <w:b/>
        </w:rPr>
        <w:t>E. 1.5</w:t>
      </w:r>
    </w:p>
    <w:p>
      <w:r>
        <w:t>Anfechtungsobjekt und damit Grenze der Überprüfungsbefugnis im Beschwerdeverfahren werden grundsätzlich durch die Verfügung bzw. durch den Einspracheentscheid im Verwaltungsverfahren bestimmt (BGE 133 II 30; BGE 122 V 36 E. 2a). 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[BGer] 2A.121/2004 vom 16. März 2005 E. 2.1 und 2C_ 642/2007 vom 3. März 2008 E. 2.2).</w:t>
      </w:r>
    </w:p>
    <w:p>
      <w:r>
        <w:rPr>
          <w:b/>
        </w:rPr>
        <w:t>E. 1.6</w:t>
      </w:r>
    </w:p>
    <w:p>
      <w:r>
        <w:t>Im vorliegenden Beschwerdeverfahren bildet der Einspracheentscheid vom 19. März 2015 (act. 41) das Anfechtungsobjekt. Darin bestätigte die Vorinstanz die Verfügung vom 26. November 2013, mit der sie auf die beantragte Rückvergütung der AHV-Beiträge nicht eintrat (act. 26). Streitig und zu prüfen ist daher nur, ob die Vorinstanz zu Recht oder zu Unrecht auf den Rückvergütungsantrag nicht eingetreten ist, weil nicht feststeht, ob der Beschwerdeführer die Person ist, die einen Anspruch auf Rückvergütung hätte. Nicht Gegenstand des vorinstanzlichen Verfahrens und damit auch nicht Gegenstand des Beschwerdeverfahrens ist die Frage nach dem betraglichen Umfang einer allfälligen Rückvergütung. Auch soweit der Beschwerdeführer beantragt, für entstandene Unkosten seien ihm 250.- zu vergüten, ist auf die Beschwerde nicht einzutreten.</w:t>
      </w:r>
    </w:p>
    <w:p>
      <w:r>
        <w:rPr>
          <w:b/>
        </w:rPr>
        <w:t>E. 2</w:t>
      </w:r>
    </w:p>
    <w:p>
      <w:r>
        <w:t>Im Folgenden sind die im vorliegenden Beschwerdeverfahren anwendbaren Normen und Rechtsgrundsätze darzustellen.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Urteil des Eidgenössischen Versicherungsgerichts [EVG, seit 1. Januar 2007: Sozialrechtliche Abteilungen des Bundesgerichts] vom 11. Dezember 1981 i.S. D.; AHI-Praxis 1996, S.179; vgl. ZAK 1989 S. 320 E. 2;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BGE 122 V 158 E. 1a, je mit Hinweisen). Der Untersuchungsgrundsatz schliesst die Beweislast im Sinne einer Beweisführungslast begriffsnotwendig aus, da es Sache der Verwaltung und im Beschwerdeverfahren des Gerichts ist, für die Zusammentragung des Beweismaterials besorgt zu sein. Im Sozialversicherungsverfahren und -prozess tragen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a.a.O., S. 208).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 Urteil des BGer 8C_448/2010 vom 19. November 2010 E. 4.1).</w:t>
      </w:r>
    </w:p>
    <w:p>
      <w:r>
        <w:rPr>
          <w:b/>
        </w:rPr>
        <w:t>E. 2.6</w:t>
      </w:r>
    </w:p>
    <w:p>
      <w:r>
        <w:t>Der Beschwerdeführer ist kosovarischer Staatsangehöriger und lebt gemäss den Angaben im Antragsformular (act. 1) mit seiner Familie im Kosovo. Er verneinte eine Doppelbürgerschaft für sich und die Ehefrau C._______. Nach der bundesgerichtlichen Rechtsprechung ist das Abkommen vom 8. Juni 1962 zwischen der Schweizerischen Eidgenossenschaft und der Föderativen Volksrepublik Jugoslawien über Sozialversicherung (SR 0.831.109.818.1) sowie die Verwaltungsvereinbarung vom 5. Juli 1963 betreffend die Durchführung des Abkommens (SR 0.831.109.818.12) ab dem 1. April 2010 auf kosovarische Staatsangehörige nicht mehr anwendbar (BGE 139 V 263 E. 3 bis 8), weshalb der Beschwerdeführer als Angehöriger eines Nichtvertragsstaates zu gelten hat. Sein Anspruch auf Rückvergütung der AHV-Beiträge beurteilt sich daher allein nach dem schweizerischen Recht. Es sind mithin insbesondere die Bestimmungen des AHVG und der Verordnung über die Rückvergütung der von Ausländern an die Alters- und Hinterlassenenversicherung bezahlten Beiträge vom 29. November 1995 (RV-AHV, SR 831.131.12) anwendbar. Massgebend sind die bei Erlass des Einspracheentscheids vom 19. März 2015 gültig gewesenen Fassungen.</w:t>
      </w:r>
    </w:p>
    <w:p>
      <w:r>
        <w:rPr>
          <w:b/>
        </w:rPr>
        <w:t>E. 2.7</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Nach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 Die Rückvergütung umfasst sowohl die Arbeitnehmer- als auch die Arbeitgeberbeiträge (Rz. 13 der Weisungen des Bundesamtes für Sozialversicherung [BSV] über die Rückvergütung der von den Ausländern an die AHV bezahlten Beiträge [Rück], in der ab 1. Januar 2003 geltenden Fassung). Zinsen werden vorbehältlich Art. 26 Abs. 2 ATSG keine geleistet (Art. 4 Abs. 1 RV-AHV). Der Anspruch auf die Rückvergütung im Todesfall steht der Witwe oder dem Witwer zu. Besteht im Todesfall kein Anspruch auf eine Witwen- oder Witwerrente, können die Waisen die Rückvergütung beanspruchen (Art. 3 RV-AHV). Aus rückvergüteten Beiträgen und den entsprechenden Beitragszeiten können gegenüber der AHV keine Rechte abgeleitet werden. Die Wiedereinzahlung der Beiträge ist ausgeschlossen (Art. 6 RV-AHV).</w:t>
      </w:r>
    </w:p>
    <w:p>
      <w:r>
        <w:rPr>
          <w:b/>
        </w:rPr>
        <w:t>E. 3</w:t>
      </w:r>
    </w:p>
    <w:p>
      <w:r>
        <w:t>Streitig und zu prüfen ist, ob die Vorinstanz zu Recht oder zu Unrecht auf den Rückvergütungsantrag nicht eingetreten ist, weil nicht feststeht, ob der Beschwerdeführer die Person ist, die einen Anspruch auf Rückvergütung hätte. Die ergänzte Aktenlage zeigt folgendes Bild:</w:t>
      </w:r>
    </w:p>
    <w:p>
      <w:r>
        <w:rPr>
          <w:b/>
        </w:rPr>
        <w:t>E. 3.1</w:t>
      </w:r>
    </w:p>
    <w:p>
      <w:r>
        <w:t>Eine Drittperson (B._______) unterrichtete die Vorinstanz im Februar 2001 unter Angabe der Versicherungsnummer und der Beitragszeit über den Tod des Versicherten A._______ (act. 3). Für die Vorinstanz bestand deshalb ein konkreter Anfangsverdacht, um das Gesuch um Rückvergütung der AHV-Beiträge, das am 4. Februar 2013 einging, vertieft zu prüfen (act. 1). Dieser Anfangsverdacht schien sich in der Folge zunächst zu bestätigen: Die Lebensbescheinigung für A._______ (in act. 7, Seite 3) war angeblich eine Fälschung (act. 22, Seite 1). Zum ausgemachten Termin am 29. Oktober 2013 erschien der Beschwerdeführer nicht auf der Botschaft (act. 23, Seite 3). Als er am Morgen des 6. November 2013 dann doch noch am Schalter erschien, konnte er sich mit einer kosovarischen Identitätskarte als A._______ ausweisen (act. 23, Seite 1 f.). Er konnte dessen Geburtsdatum nennen und Auskunft über die Namen der Ehefrau und der vier Kinder geben. Er gab nachvollziehbar an, er habe den 65. Geburtstag abgewartet, ehe er den Antrag auf Rückvergütung der AHV-Beiträge gestellt habe. Die (mutmasslich gefälschte) Lebensbescheinigung (in act. 7, Seite 3) habe er von einem ihm persönlich nicht bekannten Mitarbeiter der Wohngemeinde erhalten (act. 23, Seite 1 f.). Allerdings vermochte der Beschwerdeführer das Geburtsdatum der Ehefrau C._______ nicht zu nennen, was ebenfalls als gewichtiges Indiz dafür aufgefasst werden konnte, dass es sich nicht um den Ehemann A._______ handelte. Gegen seine Glaubwürdigkeit sprach weiter der Umstand, dass der Beschwerdeführer verneinte, der Vorinstanz mit Schreiben vom 2. Oktober 2013 (act. 20) mitgeteilt zu haben, dass er die Vorladung für den Termin am 29. Oktober 2013 nicht in Ordnung fände (act. 23, Seite 1 f.). Diese Behauptung war aktenwidrig. Das Schreiben vom 2. Oktober 2013 zeigte zudem, dass der Beschwerdeführer die Vorladung der Vorinstanz vom 18. September 2013 (act. 17) entgegen seiner anderslautenden Behauptung rechtzeitig verstanden haben musste. Damit erwies sich auch seine Erklärung für sein Fernbleiben am 29. Oktober 2013 als nicht stichhaltig. Das Verhalten auf der Botschaft bewirkte insgesamt berechtigte Zweifel, ob es sich tatsächlich um den Versicherten A._______ handelte.</w:t>
      </w:r>
    </w:p>
    <w:p>
      <w:r>
        <w:rPr>
          <w:b/>
        </w:rPr>
        <w:t>E. 3.2</w:t>
      </w:r>
    </w:p>
    <w:p>
      <w:r>
        <w:t>Nach einer Abklärung vor Ort teilte die Schweizer Vertretung im kosovarischen Pristina dem Bundesverwaltungsgericht mit Bericht vom 4. Oktober 2016 mit, in der elektronischen Datenbank des Zivilstandsregisteramts in E._______ sei A._______ nicht als verstorben registriert. In den schriftlichen Büchern figuriere kein Eintrag über dessen Ableben. Ein Todesschein sei nicht ausgestellt worden. Anderweitige Hinweise für den angeblichen Todesfall gebe es nicht. Im Wohn- und Geburtsort F._______ hätten diverse, zufällig angetroffene Personen bestätigt, dass A._______ am Leben sei. Auf entsprechende Wegbeschreibung hin sei dieser im Garten seines Hauses angetroffen worden. Er habe sich ausweisen und eine Kopie der Verfügung vom 29. Juni 2016 vorlegen können. Die Identität von A._______ sei nicht zweifelhaft (BVGer act. 34).</w:t>
      </w:r>
    </w:p>
    <w:p>
      <w:r>
        <w:rPr>
          <w:b/>
        </w:rPr>
        <w:t>E. 3.3</w:t>
      </w:r>
    </w:p>
    <w:p>
      <w:r>
        <w:t>Das Bundesverwaltungsgericht hat in einem ersten Schritt versucht, den rechtserheblichen Sachverhalt mittels eigener Abklärungen zu ergänzen. Das Amt für Migration und Integration des Kantons D._______ verfügte über keine Unterlagen des Beschwerdeführers (BVGer act. 31). Auch bei der Ausgleichskasse des Schweizerischen Baumeisterverbandes konnten keine Unterlagen des Beschwerdeführers erhältlich gemacht werden (BVGer act. 22).</w:t>
      </w:r>
    </w:p>
    <w:p>
      <w:r>
        <w:rPr>
          <w:b/>
        </w:rPr>
        <w:t>E. 3.4</w:t>
      </w:r>
    </w:p>
    <w:p>
      <w:r>
        <w:t>In der Folge wurde der Schweizerischen Botschaft im Kosovo mittels richterlicher Verfügung der Auftrag erteilt, den amtlichen Todesschein einzuholen und ergänzend Einsicht in das Einwohnerregister der Wohngemeinde von A._______ zu nehmen (BVGer act. 23). Weitere Abklärungsaufträge wurden nicht erteilt.</w:t>
      </w:r>
    </w:p>
    <w:p>
      <w:r>
        <w:rPr>
          <w:b/>
        </w:rPr>
        <w:t>E. 3.5</w:t>
      </w:r>
    </w:p>
    <w:p>
      <w:r>
        <w:t>Das Bundesverwaltungsgericht würdigt die vorliegenden Beweismittel im Rahmen der freien Beweiswürdigung wie folgt: Die Erstangaben zum angeblichen Ableben des Beschwerdeführers im Krieg zwischen Kroatien und Ex-Jugoslawien müssen von einer Person erfolgt sein, die mit der Erwerbsbiographie des Beschwerdeführers zumindest teilweise vertraut war. Es konnte die Versichertennummer und die Ausgleichskasse angegeben werden. Nicht nachvollziehbar bleibt rückblickend der Umstand, dass trotz einer angeblichen Witwe und mehrerer Waisen später kein Antrag auf AHV-Rentenleistungen gestellt worden ist. Wenn ein Ehemann das Geburtsdatum seiner Ehefrau anlässlich einer Befragung auf der Botschaft nicht nennen kann, so ist dies im vorliegenden Fall zwar ein gewichtiges Indiz, um an der Identität des Anspruchstellers zu zweifeln. Für sich allein genommen genügt es aber noch nicht, die Identität des Anspruchstellers in Abrede zu stellen. Auf Grund der Abklärung vor Ort im Kosovo konnte durch einen Botschaftsangehörigen festgestellt werden, dass der Beschwerdeführer im Zivilstandsregisteramt in E._______ nicht als verstorben registriert ist. In den schriftlichen Büchern und der elektronischen Datenbank figuriert kein Eintrag bezüglich des Ablebens des Beschwerdeführers. Da das Bundesverwaltungsgericht der Botschaft zu keinem Zeitpunkt den Auftrag zur Zeugen- oder Parteibefragung - unter Wahrung der Mitwirkungsrechte der Verfahrensbeteiligten - erteilt hat, liegen über die Identität der im Dorf zufällig angetroffenen Personen und deren Stellung zum Beschwerdeführer keinerlei Angaben vor, die es dem Gericht erlauben würden, diese Angaben zu würdigen. Das Ergebnis dieser zufälligen und nicht richterlich verfügten Befragungen kann aber bereits wegen nicht heilbarer formeller Mängel nicht berücksichtigt werden.</w:t>
      </w:r>
    </w:p>
    <w:p>
      <w:r>
        <w:rPr>
          <w:b/>
        </w:rPr>
        <w:t>E. 3.6</w:t>
      </w:r>
    </w:p>
    <w:p>
      <w:r>
        <w:t>Aus Sicht des Bundesverwaltungsgerichts ist vorrangig auf das Ergebnis der Beweiserhebung der Botschaft im Zivilstandsregisteramt in E._______ abzustellen. Entsprechend darf die Identität des Beschwerdeführers mit A._______ als überwiegend wahrscheinlich erstellt gelten. Die Ungereimtheiten, in die sich der Beschwerdeführer im Vorfeld und anlässlich der Vorsprache auf der Botschaft am 6. November 2013 verstrickte, mögen weiterhin berechtigte Zweifel an seiner Identität wecken, diese Zweifel vermögen aber den Registereintrag in E._______ nicht zu entkräften. Anderweitige, stichhaltige Hinweise auf das Ableben von A._______ konnten nicht eruiert werden (act. 34). Ergänzend ist auf die aktenkundigen Unterlagen und Ausweise (act. 6, 7, 14) zu verweisen. Zudem vermochte der Beschwerdeführer die notarielle Lebensbescheinigung und die beglaubigte Apostille zu beschaffen (act. 24, Seite 11 ff.), wie es die Botschaft anlässlich der Vorsprache vom 6. November 2013 von ihm verlangt hatte (act. 24, Seite 1 f.). Auch dies gilt es zu berücksichtigen.</w:t>
      </w:r>
    </w:p>
    <w:p>
      <w:r>
        <w:rPr>
          <w:b/>
        </w:rPr>
        <w:t>E. 4</w:t>
      </w:r>
    </w:p>
    <w:p>
      <w:r>
        <w:t>Zusammenfassend ist festzuhalten, dass das Bundesverwaltungsgericht aufgrund der ergänzten Aktenlage von der Identität des Beschwerdeführers mit A._______ mit überwiegender Wahrscheinlichkeit überzeugt ist. Die Vorinstanz ist demnach zu Unrecht nicht auf den strittigen Rückvergütungsantrag eingetreten. Mit Blick auf die Identität des Beschwerdeführers erweist sich die Beschwerde als begründet. Soweit darauf einzutreten ist, ist die Beschwerde gutzuheissen. Die Verfügung vom 26. November 2013, mit der die Vorinstanz auf die beantragte Rückvergütung der AHV-Beiträge nicht eintrat (act. 26), und der diese Verfügung bestätigende Einspracheentscheid vom 19. März 2015 (act. 41) sind aufzuheben. Infolge des Dahinfallens des Nichteintretensentscheids ist die Vorinstanz nun gehalten, das Gesuch um Rückvergütung der AHV-Beiträge vom 4. Februar 2013 materiell zu prüfen und mit einer Verfügung darüber zu befinden. Aufgrund der Anordnung in der Verfügung vom 8. Juni 2015 (BVGer act. 5) erfolgt die Eröffnung des Dispositivs des vorliegenden Urteils durch Publikation im Bundesblatt.</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notwendigen, unverhältnismässig hohen Kosten entstanden sind und er für das vorliegende Beschwerdeverfahren zu Recht keinen entsprechenden Antrag gestellt hat, ist keine Parteientschädigung zuzusprechen (vgl. Art. 64 Abs. 1 VwVG und Art. 7 ff. des Reglements vom 21. Februar 2008 über die Kosten und Entschädigungen vor dem Bundesverwaltungsgericht [VGKE, SR 173.320.2]).</w:t>
      </w:r>
    </w:p>
    <w:p>
      <w:r>
        <w:rPr>
          <w:b/>
        </w:rPr>
        <w:t>E. 5.3</w:t>
      </w:r>
    </w:p>
    <w:p>
      <w:r>
        <w:t>Die unterliegende Vorinstanz hat keinen Anspruch auf eine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