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C-227/2012 vom 2. August 2012</w:t>
      </w:r>
    </w:p>
    <w:p>
      <w:r>
        <w:t>Bundesverwaltungsgericht, 2012-08-02, FR</w:t>
      </w:r>
    </w:p>
    <w:p>
      <w:r>
        <w:rPr>
          <w:b/>
        </w:rPr>
        <w:t xml:space="preserve">Quelle: </w:t>
      </w:r>
      <w:r>
        <w:t>https://mcp.opencaselaw.ch/entscheid/bvger_C-227_2012</w:t>
      </w:r>
    </w:p>
    <w:p>
      <w:r>
        <w:t>FR: TAF C-227/2012 du 2 août 2012</w:t>
      </w:r>
    </w:p>
    <w:p>
      <w:r>
        <w:t>IT: TAF C-227/2012 del 2 agosto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et d'approbation à l'octroi d'une autorisation de séjour prononcées par l'ODM - lequel constitue une unité de l'administration fédérale telle que définie à l'art. 33 let. d LTAF - sont susceptibles de recours au Tribunal, qui statue définitivement (cf. art. 1 al. 2 LTAF en relation avec l'art. 83 let. c ch. 1 et 2 de la loi du 17 juin 2005 sur le Tribunal fédéral [LTF, RS 173.110]; voir également sur cette question et par rapport à la disposition de l'art. 27 LEtr, applicable à la présente cause, arrêt du Tribunal fédéral 2C_802/2010 du 22 octobre 2010 consid. 4 et réf. cit.).</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régnant au moment où elle statue (cf. ATAF 2011/1 consid. 2 et jurisprudence citée). 3.1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3.2 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30.09.2011; consulté en juin 2012). Il s'ensuit que ni le Tribunal, ni l'ODM ne sont liés par la proposition du SPOP/VD du 7 septembre 2011 de donner une suite favorable à la requête du 6 avril 2011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de l'ordonnance du 24 octobre 2007 relative à l'admission, au séjour et à l'exercice d'une activité lucrative (OASA, RS 142.201)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L'alinéa 3 de cette disposition stipule qu'une formation ou un perfectionnement est en principe admis pour une durée maximale de huit ans. Des dérogations peuvent être accordées en vue d'une formation ou d'un perfectionnement visant un but précis. 5.4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w:t>
      </w:r>
    </w:p>
    <w:p>
      <w:r>
        <w:t>S'agissant de l'examen des conditions matérielles énoncées explicitement à l'art. 27 al. 1 let. a à d LEtr, l'ODM n'a pas laissé entendre dans la motivation de sa décision du 10 novembre 2011, ni dans ses écritures ultérieures que le recourant ne les remplirait pas. L'examen des pièces du dossier conduit à constater qu'A._______ a été admis à l'année propédeutique santé à la HESAV, en sorte que l'établissement précité a reconnu l'aptitude de l'intéressé à suivre la formation en question (cf. en ce sens l'attestation de la HESAV du 20 janvier 2012). Il ressort également des pièces du dossier que le prénommé est en mesure de disposer des moyens financiers nécessaires pour son séjour et ses études (cf. documents bancaires figurant au dossier cantonal et joints au recours). Enfin, il n'existe aucun élément dans le dossier qui permette de conclure que l'intéressé n'aurait pas le niveau de formation requis pour suivre la formation prévue, comme le requiert l'art. 27 al. 1 let. d LEtr. En relation avec l'examen relatif aux qualifications personnelles, les autorités doivent avoir la possibilité de vérifier que la demande n'a pas pour unique but d'obtenir frauduleusement un visa pour entrer en Suisse ou dans l'espace Schengen (cf. art. 23 al. 2 OASA; Rapport de la Commission des institutions politiques du Conseil national du 5 novembre 2009 concernant l'initiative parlementaire pour faciliter l'admission et l'intégration des étrangers diplômés d'une haute école suisse, FF 2010 p. 385).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du fait que le recourant fait valoir, comme motivation de sa demande, sa volonté de venir en Suisse faire une formation dans le domaine de la santé en obtenant un MAS HES, le Tribunal ne saurait, à première vue, contester que la venue en Suisse de l'intéressé ait pour objectif premier la poursuite de ses études,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 En conséquence, les conditions fixées par l'art. 27 al. 1 LEtr semblent en l'état être remplies par le recourant. 7.1 Il importe toutefois de souligner que l'art. 27 LEtr est une disposition rédigée en la forme potestative (ou "Kann-Vorschrift") et que même si le recourant devait remplir, par hypothèse, toutes les conditions prévues par la loi, il ne disposerait d'aucun droit à la délivrance d'une autorisation de séjour en vue de formation,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 7.2 Procédant à une pondération globale de tous les éléments en présence, le Tribunal retiendra ce qui suit. 7.3 Au crédit d'A._______, il convient de porter le fait qu'il invoque à l'appui de sa requête sa volonté de venir en Suisse pour y acquérir une formation dans le domaine de la santé et qu'il s'est engagé à retourner dans son pays d'origine au terme de ses études pour contribuer au développement de son pays (cf. mémoire de recours). Cet engagement doit cependant être relativisé, dans la mesure où l'intention que peut manifester une personne de retourner dans son pays d'origine à l'issue de son séjour, voire son engagement formel à le faire, n'ont aucune force juridique (cf. ATAF 2009/27 consid. 9) et ne suffisent pas non plus à garantir que son départ interviendra dans les délais prévus. 7.4 Sur un plan plus négatif, s'agissant de l'opportunité pour le recourant de suivre une formation en Suisse, opportunité à laquelle l'autorité de première instance a fait allusion, il est à noter qu'il ne s'agit pas d'une des conditions légales énoncées à l'art. 27 LEtr pour l'obtention d'une autorisation de séjour au sens de cette disposition. Néanmoins, il convient aussi d'examiner cet aspect de la requête de l'intéressé sous l'angle du pouvoir d'appréciation conféré à l'autorité dans le cadre de l'art. 96 LEtr (cf. consid. 7.1). Dans ce contexte, il y a lieu de tenir compte du fait qu'au vu des pièces figurant au dossier, tout porte à croire que le choix d'A._______ d'entreprendre une formation dans une HES en Suisse a été essentiellement dicté par des raisons relevant de la convenance personnelle, dans la mesure où il ressort que le recourant a la possibilité d'accéder dans son pays d'origine à une formation universitaire. En effet, l'intéressé a entamé au Cameroun des études en biologie humaine et santé à la faculté des Sciences de l'Université de Douala, mais il a ensuite estimé que le cursus universitaire suivi n'était pas en adéquation avec les exigences du marché local et ses aspirations professionnelles et que le diplôme délivré par cette faculté n'était pas "professionnalisant" et ne lui permettrait pas d'obtenir un emploi au Cameroun. Il a en conséquence décidé d'arrêter sa formation universitaire (cf. lettre du 18 octobre 2011 et mémoire de recours). Par ailleurs, au vu du dossier, le recourant ne semble pas avoir de liens personnels ou professionnels particulièrement étroits avec sa patrie et l'opportunité de quitter son pays pour venir séjourner en Suisse lui permettrait d'échapper à une situation difficile pendant la durée de ses études. Il ne faut pas perdre de vue dans ce contexte que le prénommé est originaire d'un pays (Cameroun) dont l'ensemble de la population connaît une qualité de vie et des conditions économiques et sociales difficiles qui ne sont pas sans exercer une pression migratoire (source: site internet du Ministère français des affaires étrangères &gt; France-Diplomatie &gt;Pays-zones géo &gt; Cameroun &gt; Présentation; consulté en juin 2012). Enfin, aux intérêts personnels du recourant s'oppose l'intérêt public tel qu'il résulte de l'art. 3 al. 3 LEtr. En effet, dans le contexte de la politique migratoire menée par les autorités helvétiques, il convient également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 Cela étant, même si le Tribunal n'entend pas contester l'utilité que pourrait constituer la formation projetée en Suisse et comprend les aspirations légitimes d'A._______ à vouloir l'acquérir, il se doit néanmoins de constater que, dans le cas particulier, il n'apparaît pas que des raisons spécifiques et suffisantes soient de nature à justifier l'approbation de l'autorisation de séjour sollicitée, au regard aussi de la politique d'admission plutôt restrictive que les autorités helvétiques ont été amenées à adopter en la matière, et ce en ne perdant pas de vue le fait que l'intéressé conserve la possibilité de terminer une formation et d'obtenir un diplôme dans son pays.</w:t>
      </w:r>
    </w:p>
    <w:p>
      <w:r>
        <w:rPr>
          <w:b/>
        </w:rPr>
        <w:t>E. 8</w:t>
      </w:r>
    </w:p>
    <w:p>
      <w:r>
        <w:t>En conclusion, suite à une pondération globale de tous les éléments en présence, on ne saurait reprocher à l'ODM d'avoir jugé inopportun d'autoriser l'intéressé à entreprendre une formation en Suisse et force est dès lors de reconnaître, eu égard aux considérations qui précèdent, que c'est de manière justifiée que l'autorité inférieure a refusé de donner son aval à l'octroi en faveur d'A._______ d'une autorisation de séjour pour formation.</w:t>
      </w:r>
    </w:p>
    <w:p>
      <w:r>
        <w:rPr>
          <w:b/>
        </w:rPr>
        <w:t>E. 9</w:t>
      </w:r>
    </w:p>
    <w:p>
      <w:r>
        <w:t>Le recourant n'obtenant pas d'autorisation de séjour, c'est également à bon droit que l'ODM a refusé de lui délivrer une autorisation d'entrée destinée à lui permettre de se rendre en Suisse pour y suivre une formation.</w:t>
      </w:r>
    </w:p>
    <w:p>
      <w:r>
        <w:rPr>
          <w:b/>
        </w:rPr>
        <w:t>E. 10</w:t>
      </w:r>
    </w:p>
    <w:p>
      <w:r>
        <w:t>Il ressort de ce qui précède que la décision de l'ODM du 10 novembre 2011 est conforme au droit;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