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C-2272/2019 vom 19. Mai 2020</w:t>
      </w:r>
    </w:p>
    <w:p>
      <w:r>
        <w:t>Bundesverwaltungsgericht, 2020-05-19, DE</w:t>
      </w:r>
    </w:p>
    <w:p>
      <w:r>
        <w:rPr>
          <w:b/>
        </w:rPr>
        <w:t xml:space="preserve">Quelle: </w:t>
      </w:r>
      <w:r>
        <w:t>https://mcp.opencaselaw.ch/entscheid/bvger_C-2272_2019</w:t>
      </w:r>
    </w:p>
    <w:p>
      <w:r>
        <w:t>FR: TAF C-2272/2019 du 19 mai 2020</w:t>
      </w:r>
    </w:p>
    <w:p>
      <w:r>
        <w:t>IT: TAF C-2272/2019 del 19 maggio 2020</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59 ATSG [SR 830.1]). Die Beschwerde vom 26. Februar 2019 (Posteingang SAK: 28. Februar 2019) ist rechtzeitig erfolgt (Art. 60 ATSG). Nachdem aus der Beschwerde der Wille des Beschwerdeführers auf eine erneute Prüfung der Rentenberechnungsgrundlagen, insbesondere der massgeblichen Beitragsdauer, hervorgeht, genügt die Beschwerde auch in formeller Hinsicht den praxisgemässen Anforderungen, zumal an die Formerfordernisse von Laieneingaben in sprachlicher und formeller Hinsicht keine strengen Anforderungen gestellt werden (Moser/Beusch/Kneubühler, Prozessieren vor dem Bundesverwaltungsgericht, 2. Aufl. 2013, S. 119 f., Rz. 2.211; Art. 52 Abs. 1 VwVG). Die Prozessvoraussetzungen sind demnach allesamt erfüllt, so dass auf die Beschwerde einzutreten ist.</w:t>
      </w:r>
    </w:p>
    <w:p>
      <w:r>
        <w:rPr>
          <w:b/>
        </w:rPr>
        <w:t>E. 2.1</w:t>
      </w:r>
    </w:p>
    <w:p>
      <w:r>
        <w:t>Anfechtungsobjekt und damit Begrenzung des Streitgegenstandes des vorliegenden Beschwerdeverfahrens (vgl. BGE 131 V 164 E. 2.1) bildet der Einspracheentscheid vom 20. Februar 2019, mit welchem die SAK die Anrechnung zusätzlicher Beitragszeiten abgelehnt und die mit Wirkung per 1. November 2018 verfügte monatliche AHV-Rente von Fr. 982.- bestätigt hat. Der Rentenbeginn ist im vorliegenden Beschwerdeverfahren nicht umstritten. Streitig und vom Bundesverwaltungsgericht zu prüfen ist demgegenüber, ob die Vorinstanz zu Recht die Anrechnung weiterer Beitragszeiten abgelehnt hat.</w:t>
      </w:r>
    </w:p>
    <w:p>
      <w:r>
        <w:rPr>
          <w:b/>
        </w:rPr>
        <w:t>E. 2.2</w:t>
      </w:r>
    </w:p>
    <w:p>
      <w:r>
        <w:t>Nach der Rechtsprechung stellt das Sozialversicherungsgericht bei der Beurteilung einer Streitsache in der Regel auf den bis zum Zeitpunkt des Erlasses der streitigen Verwaltungsverfügung (hier: Einspracheentscheid vom 20. Februar 2019) eingetretenen Sachverhalt ab (BGE 129 V 1 E. 1.2 mit Hinweis). Weiter sind in zeitlicher Hinsicht grundsätzlich diejenigen Rechtssätze massgebend, die bei der Erfüllung des zu Rechtsfolgen führenden Tatbestandes Geltung hatten (BGE 130 V 329).</w:t>
      </w:r>
    </w:p>
    <w:p>
      <w:r>
        <w:rPr>
          <w:b/>
        </w:rPr>
        <w:t>E. 3</w:t>
      </w:r>
    </w:p>
    <w:p>
      <w:r>
        <w:t>Zunächst sind die anwendbaren gesetzlichen Bestimmungen und die von der Rechtsprechung entwickelten Grundsätze darzulegen.</w:t>
      </w:r>
    </w:p>
    <w:p>
      <w:r>
        <w:rPr>
          <w:b/>
        </w:rPr>
        <w:t>E. 3.1</w:t>
      </w:r>
    </w:p>
    <w:p>
      <w:r>
        <w:t>Der Beschwerdeführer ist spanischer Staatsangehöriger, wohnt in Spanien und hat während mehrerer Jahre eine massgebende Beschäftigung in der Schweiz ausgeübt und auf dem Erwerbseinkommen Sozialversicherungsbeiträge entrichtet. Nachdem das Abkommen keine entsprechenden Bestimmungen enthält, bleibt die Ausgestaltung des Verfahrens, die Prüfung der Anspruchsvoraussetzungen und die Berechnung der schweizerischen Altersrente mangels einschlägiger staatsvertraglicher Regelung Sache der innerstaatlichen Rechtsordnung (BGE 130 V 51 E. 5; Urteil des BGer 9C_569/2019 vom 8. November 2019 E. 3.2 mit Hinweisen).</w:t>
      </w:r>
    </w:p>
    <w:p>
      <w:r>
        <w:rPr>
          <w:b/>
        </w:rPr>
        <w:t>E. 3.2</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Der Anspruch auf die Altersrente entsteht am ersten Tag des Monats, welcher der Vollendung des gemäss Absatz 1 massgebenden Altersjahres folgt (Art. 21 Abs. 1 Bst. b AHVG). Männer und Frauen, welche die Voraussetzungen für den Anspruch auf eine Altersrente erfüllen, können die Renten ein oder zwei Jahre vorbeziehen (Art. 40 Abs. 1 Satz 1 AHVG). Die Rente wird um den Gegenwert der vorbezogenen Rente gekürzt (Art. 56 Abs. 1 der Verordnung über die Alters- und Hinterlassenenversicherung; AHVV, SR 831.101). Bis zum Rentenalter entspricht dieser Betrag pro Vorbezugsjahr 6,8 Prozent der vorbezogenen Rente (Art. 56 Abs. 2 AHVV).</w:t>
      </w:r>
    </w:p>
    <w:p>
      <w:r>
        <w:rPr>
          <w:b/>
        </w:rPr>
        <w:t>E. 3.3</w:t>
      </w:r>
    </w:p>
    <w:p>
      <w:r>
        <w:t>Die ordentlichen Renten der AHV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(Rentenalter oder Tod)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 Bei unvollständiger Beitragsdauer (weniger als 44 Jahre für Männer) besteht Anspruch auf eine Teilrente entsprechend dem gerundeten Verhältnis zwischen den vollen Beitragsjahren der versicherten Person und denjenigen ihres Jahrganges (Art. 29 Abs. 2 Bst. b AHVG; Art. 38 Abs. 2 AHVG; Marco Reichmuth, AHV-Renten, in: Recht der sozialen Sicherheit, Handbücher für die Anwaltspraxis, Band XI, 2014, S. 870 f. Rz. 24.90 f.; vgl. zur Abstufung der Teilrenten in Prozenten der Vollrente: Art. 52 Abs. 1 und Abs. 1bis AHVV sowie Rententabellen 2015 [AHV/IV] des Bundesamtes für Sozialversicherungen [BSV], Skalenwähler, S. 9, gültig ab 1. Januar 2015; &lt; www.bsv.admin.ch &gt; Publikationen &amp; Service &gt; Weisungen, Kreisschreiben etc. &gt; Vollzug Sozialversicherungen &gt; AHV &gt; Grundlagen AHV &gt; Weisungen Renten &gt; Rententabellen, abgerufen am: 18.05.2020; BGE 121 V 71 E. 1 S. 74; zum Stellenwert dieser Verwaltungsweisung vgl. BGE 140 V 314 E. 3.3 S. 317).</w:t>
      </w:r>
    </w:p>
    <w:p>
      <w:r>
        <w:rPr>
          <w:b/>
        </w:rPr>
        <w:t>E. 3.4</w:t>
      </w:r>
    </w:p>
    <w:p>
      <w:r>
        <w:t>Innerhalb der anwendbaren Rentenskala (Art. 52 AHVV) bestimmt sich der Rentenbetrag nach dem durchschnittlichen Jahreseinkommen. Dieses setzt sich zusammen aus den Erwerbseinkommen, den Erziehungs- und den Betreuungsgutschriften (Art. 29quater AHVG). Weil die Beiträge während einer langen Beitragskarriere zum Nominalbetrag bezahlt worden sind, wird die Summe der Erwerbseinkommen entsprechend dem Rentenindex aufgewertet (Art. 30 Abs. 1 AHVG). Das BSV legt die Faktoren für die Aufwertung der Summe der Erwerbseinkommen nach Art. 30 Abs. 1 AHVG jährlich fest (Art. 51bis Abs. 1 AHVV; vgl. dazu Art. 29bis Abs. 2 AHVG in Verbindung mit Art. 51bis Abs. 2 AHVV sowie Wegleitung über die Renten [RWL] in der Eidgenössischen Alters-, Hinterlassenen- und Invalidenversicherung, gültig ab 1. Januar 2003, Stand: 1. Januar 2018, Rz. 5305). Das durchschnittliche Jahreseinkommen wird alsdann ermittelt, indem die Summe der aufgewerteten Erwerbseinkommen und die Erziehungs- oder Betreuungsgutschriften durch die Anzahl der Beitragsjahre geteilt werden (Art. 30 Abs. 2 AHVG).</w:t>
      </w:r>
    </w:p>
    <w:p>
      <w:r>
        <w:rPr>
          <w:b/>
        </w:rPr>
        <w:t>E. 3.5</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Die Erziehungsgutschrift entspricht dem Betrag der dreifachen minimalen jährlichen Altersrente gemäss Art. 34 AHVG im Zeitpunkt der Entstehung des Rentenanspruchs (Art. 29sexies Abs. 2 AHVG). Im Jahr 2018 beläuft sich der Betrag der minimalen monatlichen Altersrente auf Fr. 1'175.- (Art. 3 Abs. 1 der Verordnung 15 über Anpassungen an die Lohn- und Preisentwicklung bei der AHV/IV/EO; SR 831.108) und die (ungeteilte) Erziehungsgutschrift mithin auf Fr. 42'300.- (3 x 12 x Fr. 1'175.-).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 wenn die Eltern im Sinne von Art. 1a Abs. 1 - 4 oder Art. 2 AHVG versichert waren (RWL Rz. 5419 1/16). Erziehungsgutschriften werden immer für ganze Kalenderjahre angerechnet (vgl. Art. 52f Abs. 5 AHVV für Eltern, welche nicht während des ganzen Kalenderjahres versichert sind). Der Durchschnitt der Erziehungsgutschriften ergibt sich aus der Division der anrechenbaren Erziehungsgutschriften durch die für die Ermittlung des Durchschnitts aus Erwerbseinkommen massgebende Beitragsdauer (Rz. 5486 1/16 RWL).</w:t>
      </w:r>
    </w:p>
    <w:p>
      <w:r>
        <w:rPr>
          <w:b/>
        </w:rPr>
        <w:t>E. 3.6.1</w:t>
      </w:r>
    </w:p>
    <w:p>
      <w:r>
        <w:t>Die Beitragsdauer einer versicherten Person bestimmt sich in der Regel nach den Einträgen in ihren individuellen Konten (IK; Art. 30ter AHVG).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Kontoauszuges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fehlende Eintragungen im IK (BGE 117 V 261 E. 3a).</w:t>
      </w:r>
    </w:p>
    <w:p>
      <w:r>
        <w:rPr>
          <w:b/>
        </w:rPr>
        <w:t>E. 3.6.2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in: Ulrich Meyer [Hrsg.], Schweizerisches Bundesverwaltungsrecht, Band XIV, Soziale Sicherheit, 3. Aufl. 2016, S. 1353 f. Rz. 565 - 568).</w:t>
      </w:r>
    </w:p>
    <w:p>
      <w:r>
        <w:rPr>
          <w:b/>
        </w:rPr>
        <w:t>E. 3.6.3</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IK handelt es sich um eine (öffentliche) Urkunde (Ueli Kieser, ATSG-Kommentar, 3. Aufl. 2015, Art. 43 N. 21). Daraus folgt, dass die unangefochten gebliebenen IK-Auszüge und die darin enthaltenen IK-Eintragungen für die durch sie bezeugten Tatsachen den vollen Beweis erbringen, solange nicht die Unrichtigkeit ihres Inhaltes nachgewiesen ist (vgl. Art. 9 Abs. 1 ZGB).</w:t>
      </w:r>
    </w:p>
    <w:p>
      <w:r>
        <w:rPr>
          <w:b/>
        </w:rPr>
        <w:t>E. 4</w:t>
      </w:r>
    </w:p>
    <w:p>
      <w:r>
        <w:t>Vorliegend ist unbestritten, dass der Beschwerdeführer per 1. November 2018 Anspruch auf eine ordentliche AHV-Rente hat und die Rente zu Recht infolge Vorbezugs um 13,6 % gekürzt worden ist. Umstritten und nachfolgend zu prüfen ist demgegenüber, ob entsprechend der Argumentation des Beschwerdeführers zusätzliche Beitragsjahre samt entsprechenden Einkommen berücksichtigt werden können.</w:t>
      </w:r>
    </w:p>
    <w:p>
      <w:r>
        <w:rPr>
          <w:b/>
        </w:rPr>
        <w:t>E. 4.1</w:t>
      </w:r>
    </w:p>
    <w:p>
      <w:r>
        <w:t>Der Beschwerdeführer bringt in seiner Beschwerde im Wesentlichen vor, es treffe zu, dass er vom 7. Oktober 1976 bis 1. August 2003 für die spanische Botschaft in Bern gearbeitet und in dieser Zeit Beiträge an die spanische Sozialversicherung geleistet habe. Allerdings habe er in der Zeit von Anfang Oktober 1976 bis 2007 auch im Reinigungsunternehmen «B._______ GmbH» gearbeitet und dabei Beiträge an die schweizerische AHV geleistet. Folglich seien diese Beiträge bei der Rentenberechnung zusätzlich zu berücksichtigen, so dass er Anspruch auf eine höhere AHV-Rente habe (BVGer act. 1 und BVGer act. 4 [Übersetzung]).</w:t>
      </w:r>
    </w:p>
    <w:p>
      <w:r>
        <w:rPr>
          <w:b/>
        </w:rPr>
        <w:t>E. 4.2</w:t>
      </w:r>
    </w:p>
    <w:p>
      <w:r>
        <w:t>Dagegen wendet die Vorinstanz in ihrer Vernehmlassung ein, massgeblich für die Berechnung der Altersrente seien die Eintragungen im individuellen Konto. Sie habe im laufenden Beschwerdeverfahren noch weitere Abklärungen durchgeführt, und die zuständige Ausgleichskasse habe ihr mit Schreiben vom 14. August 2019 (act. 52) mitgeteilt, dass die Beitragszeiten korrekt abgebucht worden seien. Der Beschwerdeführer habe seinerseits keine Unterlagen eingereicht, welche den Nachweis zu erbringen vermöchten, dass ihm die B._______ GmbH respektive die C._______ AG tatsächlich einen AHV-Pflichtigen Lohn ausbezahlt und entsprechende AHV-Beiträge vom Lohn abgezogen habe. Auch aus den Akten seien keine Hinweise für diese Annahme ersichtlich (BVGer act. 9).</w:t>
      </w:r>
    </w:p>
    <w:p>
      <w:r>
        <w:rPr>
          <w:b/>
        </w:rPr>
        <w:t>E. 4.3</w:t>
      </w:r>
    </w:p>
    <w:p>
      <w:r>
        <w:t>Der Beschwerdeführer hat auch im Beschwerdeverfahren keine Beweismittel zu den Akten eingereicht. Die blosse Behauptung, er habe während weiterer, im IK-Auszug nicht erfasster Jahre bei der früheren Arbeitgeberin in der Schweiz gearbeitet, genügt den Anforderungen an den zu erbringenden vollen Beweis bei Weitem nicht. Im Rahmen der Beweiswürdigung kann zudem nicht unbeachtet bleiben, dass sich der Beschwerdeführer bei der Begründung für die von ihm geforderten zusätzlichen Beitragsjahre widersprüchlich verhalten hat. Auf der einen Seite hat er zunächst mit Einsprache vom 8. Januar 2019 gefordert, es seien ihm zusätzliche Beitragsjahre und Einkommen für die Zeit von 1977 bis 1981 gutzuschreiben. Im vorliegenden Beschwerdeverfahren macht der dagegen geltend, es seien ihm für die Zeit von Anfang Oktober 1976 bis 2007 weitere Beitragszeiten und entsprechendes Einkommen gutzuschreiben. Hinzu kommt, dass der Beschwerdeführer in keiner Weise begründet, geschweige denn rechtsgenüglich substanziiert darlegt und belegt, welche AHV-Einkommen er in dieser Zeit in der Schweiz zusätzlich erzielt haben soll und wie hoch dementsprechend die nachträglich gutzuschreibenden Beiträge ausfallen würden. Ferner geht auch aus den Akten nicht hervor, dass der Beschwerdeführer, neben den im IK erfassten Beitragszeiten und Einkommen noch einen Anspruch auf weitere Gutschriften hätte. Die vom Beschwerdeführer geltend gemachten Vorbringen vermögen daher an der Richtigkeit der IK-Auszüge (act. 15, S. 11 ff.) nichts zu ändern, so dass hierauf abzustellen ist.</w:t>
      </w:r>
    </w:p>
    <w:p>
      <w:r>
        <w:rPr>
          <w:b/>
        </w:rPr>
        <w:t>E. 4.4</w:t>
      </w:r>
    </w:p>
    <w:p>
      <w:r>
        <w:t>Der Vollständigkeit halber ist sodann darauf hinzuweisen, dass es sich bei einer Rentenvorausberechnung im Sinne von Art. 58 Abs. 1 AHVV um eine prognostische Rentenberechnung handelt, zumal sich Rentenanspruch und Rentenhöhe auf Grund von Entwicklungen in den persönlichen Verhältnissen oder in der Rechtslage wesentlich verändern können (vgl. dazu Kreisschreiben des BSV über die Rentenvorausberechnung [KSRV], gültig ab 1. Januar 2001, Stand 1. Januar 2018, Rz. 1002). Die Rentenvorausberechnung hat folglich keinen verbindlichen, sondern lediglich einen informativen Charakter. Sie entfaltet keine rechtlichen Wirkungen und bindet die Behörden nicht (Urteil des BGer 9C_171/2011 vom 6. Juli 2011 E. 6.1; Reichmuth, a.a.O., Rz 24.77). Hinzu kommt, dass der Beschwerdeführer vorliegend auch noch explizit auf den unverbindlichen Charakter der Rentenauskunft aufmerksam gemacht worden ist (Rentenauskunft der Ausgleichskasse Bern vom 25. Februar 2015, act. 27, S. 2). Im konkreten Fall ist die Rentenvorausberechnung mit einem mutmasslichen Betrag von Fr. 1'266.- pro Monat namentlich deshalb höher als der effektive Rentenbetrag ausgefallen, weil die Ausgleichskasse dem Beschwerdeführer auch für die Zeit nach dem Jahr 2005 noch mutmassliche Beiträge (als Nichterwerbstätiger) gutschrieben hat, obwohl solche nicht geleistet worden sind (vgl. dazu act. 27, S. 3). Soweit sich der Beschwerdeführer auf das Ergebnis der Rentenvorausberechnung beruft, kann er daraus - mangels Verbindlichkeit der Berechnung - nichts zu seinen Gunsten ableiten.</w:t>
      </w:r>
    </w:p>
    <w:p>
      <w:r>
        <w:rPr>
          <w:b/>
        </w:rPr>
        <w:t>E. 4.5</w:t>
      </w:r>
    </w:p>
    <w:p>
      <w:r>
        <w:t>Eine summarische Prüfung der Berechnungsgrundlagen ergibt schliesslich, dass auch diese nicht zu beanstanden sind. So hat die Vorinstanz zu Recht die Rentenskala 29 angewendet, da dem Beschwerdeführer gemäss IK-Auszug lediglich 28 volle Versicherungsjahre (inkl. 3 Jugendjahre) angerechnet werden können. Dass die im individuellen Konto festgehaltenen Einkommensbeträge unrichtig erfasst worden sein sollen, macht der Beschwerdeführer nicht geltend und ist aufgrund der Akten auch nicht ersichtlich. Die Summe der dem Beschwerdeführer während der 28jährigen Beitragszeit gutgeschriebenen AHV-Löhne beläuft sich unter Einbezug des Einkommenssplittings auf Fr. 691'330.-. Für die Ermittlung des Aufwertungsfaktors hat die SAK zu Recht auf das Kalenderjahr des ersten IK-Eintrages im Jahr 1976 abgestellt (vgl. dazu Art.10 Abs. 1 AHVG, Art. 51bis AHVV; vgl. dazu auch Urteil des EVG H 49/05 vom 1. Dezember 2005) und auf diese Weise den Faktor korrekt auf 1.091 festgelegt (Rententabellen 2019, S. 15). Daraus ergibt sich ein zutreffendes aufgewertetes Gesamteinkommen von Fr. 754'242.- (= Fr. 691'330.- x 1,091) und unter Berücksichtigung einer Beitragsdauer von 28 Jahren und 9 Monaten respektive 345 Monaten ein massgebendes durchschnittliches Einkommen von Fr. 26'234.- (= Fr. 754'242.- : 345 x 12). Unter Berücksichtigung der 17 Erziehungsjahre respektive der 17 hälftigen Erziehungsgutschriften hat die SAK sodann für den Beschwerdeführer sodann für die 345monatige Beitragsdauer einen korrekten Durchschnittswert in der Höhe von Fr. 12'506.- (= Fr. 42'300.- : 2 x 17 : 345 x 12) errechnet. Daraus ergab sich ein massgebendes durchschnittliches Jahreseinkommen von Fr. 38'740.- (= Fr. 26'234.- + Fr. 12'506.-). Aufgerundet auf den nächst höheren Tabellenwert der Rentenskala 29 in der Höhe von Fr. 38'480.- (vgl. Rententabellen 2019, S. 48) resultiert demnach ein Betrag von Fr. 1'134.- respektive unter Berücksichtigung der Kürzung von 13,4 % infolge des Rentenvorbezugs um zwei Jahre eine monatliche AHV-Rente von Fr. 982.- für das Jahr 2018.</w:t>
      </w:r>
    </w:p>
    <w:p>
      <w:r>
        <w:rPr>
          <w:b/>
        </w:rPr>
        <w:t>E. 5</w:t>
      </w:r>
    </w:p>
    <w:p>
      <w:r>
        <w:t>Zusammengefasst steht nach dem Gesagten fest, dass der Beschwerdeführer den ihm obliegenden Beweis für die Unrichtigkeit respektive Unvollständigkeit des IK-Auszuges nicht hat erbringen können, da er weder im vorinstanzlichen noch im vorliegenden Beschwerdeverfahren entsprechende Beweismittel eingereicht oder bezeichnet hat. Darüber hinaus haben auch die von der SAK im Zuge des Beschwerdeverfahrens noch durchgeführten ergänzenden Abklärungen keinerlei Hinweise für die Unrichtigkeit der Eintragungen im individuellen Konto ergeben. Die summarische Prüfung der Rentenberechnung hat ferner ergeben, dass die monatliche AHV-Rente korrekt ermittelt worden und folglich nicht zu beanstanden ist. Die Beschwerde erweist sich somit als offensichtlich unbegründet und ist deshalb im einzelrichterlichen Verfahren nach Art. 23 Abs. 2 VGG i.V.m. Art. 85bis Abs. 3 AHVG abzuweisen und der angefochtene Einspracheentscheid vom 20. Februar 2019 ist zu bestätigen.</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