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C-2268/2008 vom 7. Oktober 2010</w:t>
      </w:r>
    </w:p>
    <w:p>
      <w:r>
        <w:t>Bundesverwaltungsgericht, 2010-10-07, DE</w:t>
      </w:r>
    </w:p>
    <w:p>
      <w:r>
        <w:rPr>
          <w:b/>
        </w:rPr>
        <w:t xml:space="preserve">Quelle: </w:t>
      </w:r>
      <w:r>
        <w:t>https://mcp.opencaselaw.ch/entscheid/bvger_C-2268_2008</w:t>
      </w:r>
    </w:p>
    <w:p>
      <w:r>
        <w:t>FR: TAF C-2268/2008 du 7 octobre 2010</w:t>
      </w:r>
    </w:p>
    <w:p>
      <w:r>
        <w:t>IT: TAF C-2268/2008 del 7 ottobre 2010</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die von einer in Art. 33 VGG aufgeführten Behörde erlassen wurden.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Bundesverwaltungsgericht endgültig (Art. 83 Bst. c Ziff. 2 und Ziff.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Die Beschwerdeführerin ist als Verfügungsadressatin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3.1</w:t>
      </w:r>
    </w:p>
    <w:p>
      <w:r>
        <w:t>Mit Inkrafttreten des Bundesgesetzes vom 16. Dezember 2005 über die Ausländerinnen und Ausländer (AuG, SR 142.20) am 1. Januar 2008 wurde das ANAG aufgehoben (vgl. Art. 125 AuG i.V.m. Ziffer I Anhang 2 AuG). Da das der angefochtenen Verfügung zugrunde liegende Verfahren vor Inkrafttreten des AuG eingeleitet wurde, ist gemäss Art. 126 AuG das bisherige Recht, d.h. das ANAG und die darauf abgestützten, per 1. Januar 2008 ebenfalls aufgehobenen Verordnungen, anwendbar (vgl. Art. 91 der Verordnung vom 24. Oktober 2007 über Zulassung, Aufenthalt und Erwerbstätigkeit [VZAE, SR 142.201]).</w:t>
      </w:r>
    </w:p>
    <w:p>
      <w:r>
        <w:rPr>
          <w:b/>
        </w:rPr>
        <w:t>E. 3.2</w:t>
      </w:r>
    </w:p>
    <w:p>
      <w:r>
        <w:t>Die Beschwerdeführerin führt in Bezug auf das anwendbare Recht an, gemäss Art. 126 Abs. 2 AuG sei auf hängige Gesuche das neue Verfahrensrecht anwendbar. Die Durchführung eines Zustimmungsverfahrens sei eine Frage des Verfahrensrechts, weshalb das neue Recht anwendbar sei. Da im AuG kein Zustimmungsverfahren vorgesehen sei, habe die Vorinstanz zu Unrecht ein solches durchgeführt.</w:t>
      </w:r>
    </w:p>
    <w:p>
      <w:r>
        <w:rPr>
          <w:b/>
        </w:rPr>
        <w:t>E. 3.3</w:t>
      </w:r>
    </w:p>
    <w:p>
      <w:r>
        <w:t>Dieser Auffassung kann nicht gefolgt werden. Zunächst ist festzuhalten, dass das neue Recht sehr wohl ein Zustimmungsverfahren vorsieht (vgl. Art. 40 Abs. 1 AuG i.V.m. Art. 99 AuG). Selbst wenn das neue Recht keines vorsehen würde, blieben altrechtliche Zuständigkeiten vom Inkrafttreten neuen Rechts unberührt, wenn sie unter der Geltung des alten Rechts begründet wurden (perpetuatio fori) oder wenn das neue Recht auf das alte materielle Recht verweist, die für dessen Verwirklichung notwendigen Zuständigkeitsordnung aber nicht mehr zur Verfügung stellt (vgl. Urteil des Bundesverwaltungsgerichts C-4626/2008 vom 23. Februar 2010 E. 2 mit Hinweis).</w:t>
      </w:r>
    </w:p>
    <w:p>
      <w:r>
        <w:rPr>
          <w:b/>
        </w:rPr>
        <w:t>E. 4.1</w:t>
      </w:r>
    </w:p>
    <w:p>
      <w:r>
        <w:t>Die Kantone sind zuständig für die Erteilung und Verlängerung von Bewilligungen (vgl. Art. 15 Abs. 1 und 18 ANAG sowie Art. 51 BVO). Vorbehalten bleibt jedoch die Zustimmung durch das BFM. Das Zustimmungserfordernis ergibt sich im vorliegenden Fall aus Art. 1 Abs. 1 Bst. a der Verordnung über das Zustimmungsverfahren im Ausländerrecht (AS 1983 535) in Verbindung mit den Weisungen und Erläuterungen des BFM über Einreise, Aufenthalt und Arbeitsmarkt (ANAG-Weisungen, 3. Auflage, Bern, Mai 2006). Letztere sehen in Ziffer 132.4 Bst. f vor, dass die Verlängerung der Aufenthaltsbewilligung eines Ausländers oder einer Ausländerin nach der Auflösung der ehelichen Gemeinschaft mit einem ausländischen Ehegatten oder nach dessen Tod dem BFM zur Zustimmung zu unterbreiten ist, falls der Ausländer oder die Ausländerin nicht aus einem Mitgliedstaat der EFTA oder der EG stammt. Ziffer 132.4 Bst. b der genannten Weisungen sieht schliesslich die Unterbreitung zur Zustimmung vor, wenn das BFM es im Einzelfall verlangt. Gemäss Art. 19 Abs. 5 der Vollziehungsverordnung vom 1. März 1949 zum Bundesgesetz über Aufenthalt und Niederlassung der Ausländer (ANAV, AS 1949 228) darf eine entsprechende kantonale Bewilligung erst ausgestellt werden, wenn die Zustimmung des BFM vorliegt; ansonsten ist sie ungültig. Die Kompetenz des BFM ist im vorliegenden Fall gegeben (zum Ganzen vgl. BGE 130 II 49 E. 2.1, BGE 127 II 49 E. 3, BGE 120 Ib 6 E. 3a; Verwaltungspraxis der Bundesbehörden [VPB] 69.78 E. 12, 70.23 E. 10).</w:t>
      </w:r>
    </w:p>
    <w:p>
      <w:r>
        <w:rPr>
          <w:b/>
        </w:rPr>
        <w:t>E. 4.2</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(vgl. BGE 135 II 1 E. 1.1 mit Hinweisen).</w:t>
      </w:r>
    </w:p>
    <w:p>
      <w:r>
        <w:rPr>
          <w:b/>
        </w:rPr>
        <w:t>E. 5</w:t>
      </w:r>
    </w:p>
    <w:p>
      <w:r>
        <w:t>Gemäss Art. 17 Abs. 2 ANAG hat der Ehegatte eines Ausländers mit Niederlassungsbewilligung Anspruch auf Erteilung und Verlängerung der Aufenthaltsbewilligung, solange die Ehegatten zusammen wohnen. Nach einem ordnungsgemässen und ununterbrochenen Aufenthalt von fünf Jahren hat der Ehegatte ebenfalls Anspruch auf eine Niederlassungsbewilligung.</w:t>
      </w:r>
    </w:p>
    <w:p>
      <w:r>
        <w:rPr>
          <w:b/>
        </w:rPr>
        <w:t>E. 5.1</w:t>
      </w:r>
    </w:p>
    <w:p>
      <w:r>
        <w:t>Dem Datenblatt der kantonalen Akten ist zu entnehmen, dass die Beschwerdeführerin seit dem 30. März 2004 von ihrem Ehemann geschieden ist. Aus dem von ihr am 30. August 2010 zu den Akten gegebenen Scheidungsurteil des Amtsgerichts [...]/Mazedonien vom 12. März 2004 (Rechtskraft: 30. März 2004) geht überdies hervor, dass gemäss Aussagen ihres Bruders, der als Zeuge einvernommen wurde, die eheliche Gemeinschaft bereits im Mai 2002 aufgegeben worden war.</w:t>
      </w:r>
    </w:p>
    <w:p>
      <w:r>
        <w:rPr>
          <w:b/>
        </w:rPr>
        <w:t>E. 5.1.1</w:t>
      </w:r>
    </w:p>
    <w:p>
      <w:r>
        <w:t>Die Beschwerdeführerin macht in ihrer Eingabe vom 30. August 2010 geltend, sie habe nichts von dem Scheidungsverfahren gewusst. Erst als sie vor etwa einem Jahr ihrem Schwiegervater gegenüber den Wunsch nach einer Scheidung geäussert habe, habe er erwähnt, dass in Mazedonien bereits ein Scheidungsverfahren durchgeführt worden sei. Anschliessend habe sie von ihrem Ehemann vergebens die entsprechenden Papiere verlangt. Erst nach der Aufforderung des Gerichts, das Scheidungsurteil einzureichen, sei sie nochmals bei ihrem Ehemann vorstellig geworden und habe das Deckblatt des Urteils und eine Übersetzung erhalten. So habe sie erstmals Kenntnis vom Inhalt des Scheidungsurteils erhalten. Im Übrigen bestreite ihr Bruder, an der Scheidungsverhandlung als Zeuge einvernommen worden zu sein. Die Beschwerdeführerin hält fest, das Scheidungsurteil sei angesichts der Umstände als ungültig und nichtig zu erachten.</w:t>
      </w:r>
    </w:p>
    <w:p>
      <w:r>
        <w:rPr>
          <w:b/>
        </w:rPr>
        <w:t>E. 5.1.2</w:t>
      </w:r>
    </w:p>
    <w:p>
      <w:r>
        <w:t>Wird auf das Scheidungsurteil abgestellt, so hat das eheliche Zusammenleben in der Schweiz nur rund sieben Monate gedauert: von der Einreise der Beschwerdeführerin am 19. Oktober 2001 bis Mai 2002, längstens aber bis zur Rechtskraft des Urteils, das heisst rund zweieinhalb Jahre. Unter diesen Umständen hatte die Beschwerdeführerin seit spätestens 30. März 2004 (Rechtskraft des Scheidungsurteils) keinen Anspruch mehr auf Verlängerung ihrer Aufenthaltsbewilligung, von der Entstehung eines Anspruches auf eine Niederlassungsbewilligung gemäss Art. 17 Abs. 2 ANAG ganz zu schweigen.</w:t>
      </w:r>
    </w:p>
    <w:p>
      <w:r>
        <w:rPr>
          <w:b/>
        </w:rPr>
        <w:t>E. 5.1.3</w:t>
      </w:r>
    </w:p>
    <w:p>
      <w:r>
        <w:t>Es erscheint vorliegend allerdings problematisch, unbesehen auf das Scheidungsurteil abzustellen, da die Umstände des Scheidungsverfahrens zu Fragen Anlass geben. So erfuhr die Beschwerdeführerin nach eigenen Angaben erst durch eine beiläufige Bemerkung ihres Schwiegervaters davon. Allerdings mutet es merkwürdig an, dass der Ehemann zwar das Scheidungsverfahren eingeleitet hat (er wird als Kläger bezeichnet), dessen Abschluss der Beschwerdeführerin aber nicht mitgeteilt haben soll. Zudem verneinte er drei Jahre später, im Jahr 2007, gegenüber den Behörden ausdrücklich, bisher in Sachen Scheidung etwas unternommen zu haben (vgl. kantonale Akten Beschwerdeführerin Nr. 44). Allerdings hat der Ex-Ehemann inzwischen wieder geheiratet. Daraus kann geschlossen werden, dass das zuständige Zivilstandsamt von der Gültigkeit des Scheidungsurteils ausgegangen ist. Wie es sich damit genau verhält, kann jedoch angesichts der folgenden Erwägungen offengelassen werden.</w:t>
      </w:r>
    </w:p>
    <w:p>
      <w:r>
        <w:rPr>
          <w:b/>
        </w:rPr>
        <w:t>E. 5.2</w:t>
      </w:r>
    </w:p>
    <w:p>
      <w:r>
        <w:t>Die Beschwerdeführerin reiste am 19. Oktober 2001 in die Schweiz ein, um bei ihrem Ehemann zu wohnen, der über eine Niederlassungsbewilligung verfügt. Somit hatte sie ursprünglich einen Anspruch auf Erteilung und Verlängerung der Aufenthaltsbewilligung, der so lange galt, wie sie mit ihrem Ehemann zusammenwohnte. In dieser Hinsicht ist vorliegend strittig, ob das eheliche Zusammenleben mehr als fünf Jahre gedauert und die Beschwerdeführerin dadurch einen Anspruch auf eine Niederlassungsbewilligung erworben hat.</w:t>
      </w:r>
    </w:p>
    <w:p>
      <w:r>
        <w:rPr>
          <w:b/>
        </w:rPr>
        <w:t>E. 5.2.1</w:t>
      </w:r>
    </w:p>
    <w:p>
      <w:r>
        <w:t>Die Angaben der Ehegatten zur Dauer des Zusammenwohnens sind widersprüchlich: Die Beschwerdeführerin machte am 1. November 2006 im Rahmen des rechtlichen Gehörs gegenüber dem Migrationsamt geltend, die Trennung datiere vom Februar 2006. Laut Auskunft des Ehemannes, die am 20. September 2007 beim Migrationsamt eingegangen ist, hat er sich wegen seiner Drogenprobleme Anfang 2005 von seiner Ehefrau getrennt.</w:t>
      </w:r>
    </w:p>
    <w:p>
      <w:r>
        <w:rPr>
          <w:b/>
        </w:rPr>
        <w:t>E. 5.2.2</w:t>
      </w:r>
    </w:p>
    <w:p>
      <w:r>
        <w:t>Die Beschwerdeführerin macht geltend, die Vorinstanz hätte aufgrund der Umstände - der Ehemann habe zum Zeitpunkt der Trennung im "Drogensumpf" gelebt - nicht auf dessen Aussage abstellen dürfen. Es sei notorisch, dass Menschen, die im Drogenelend lebten, ihre Erinnerung an vergangene Ereignisse und Zeitabläufe schnell verlören und nicht mehr in der Lage seien, zuverlässige Angaben über diese Geschehnisse zu Protokoll zu geben. Daher sei auf die Angaben der Beschwerdeführerin abzustellen. Ferner sei die aufgrund der Inhaftierung des Ehemannes erzwungene Trennung der Ehegatten nicht als Getrenntleben im Sinne des Eherechtes anzusehen. Vielmehr dürfe eine Trennung erst angenommen werden, wenn die Ehegatten nach der Entlassung des Ehemannes aus dem Strafvollzug das Zusammenleben nicht wieder aufnehmen würden. Demnach hätten die Ehegatten mehr als fünf Jahre zusammengelebt (Oktober 2001 [Einreise der Beschwerdeführerin] bis Dezember 2007 [Entlassung des Ehemannes aus dem Strafvollzug]). In der Eingabe vom 9. Juli 2010 bekräftigt die Beschwerdeführerin, sie habe bis zur Verhaftung ihres Ehemannes immer mit ihm zusammen gelebt, bis Anfang 2005 an der X.-strasse 171, danach für vier oder fünf Monate an der X.-strasse 199. Beide Wohnungen hätten sie aus finanziellen Gründen verlassen müssen. Anschliessend seien sie beide zu ihren Schwiegereltern an die Y.-strasse [...] gezogen. Nach der Inhaftierung ihres Ehemannes im Februar 2006 sei sie aus den beengten Verhältnissen bei den Schwiegereltern an die Z.-strasse [...] gezogen. Die Behörden seien über den Aufenthalt der Ehegatten an der Y.-strasse [...] informiert gewesen.</w:t>
      </w:r>
    </w:p>
    <w:p>
      <w:r>
        <w:rPr>
          <w:b/>
        </w:rPr>
        <w:t>E. 5.2.3</w:t>
      </w:r>
    </w:p>
    <w:p>
      <w:r>
        <w:t>Aus den Akten geht hervor, dass die kantonalen Behörden von Mitte 2005 an zweimal vergebens versuchten, die Ehegatten an der gemeldeten Adresse zu erreichen (X.-strasse 171 in Basel; vgl. kantonale Akten Ehemann Nr. 30 und 33). Eine vom 7. November 2005 datierende Verzeigung führt die Y.-strasse [...] in Basel als Adresse der Beschwerdeführerin auf, die Wohnadresse ihrer Schwiegereltern (vgl. kantonale Akten Beschwerdeführerin Nr. 10 und Nr. 16; siehe auch die Eingabe vom 17. Januar 2008 ans BFM). Noch im März 2006 ging das Migrationsamt davon aus, die Beschwerdeführerin wohne an der X.-strasse 171 (kantonale Akten Beschwerdeführerin Nr. 14); erst am 5. April 2006, zwei Monate nach der Verhaftung des Ehemannes, teilte die Beschwerdeführerin mit, sie sei von der X.-strasse 171 an die Z.-strasse [...] umgezogen. Gemäss dem Vollzugsauftrag betreffend Strafvollzug vom 19. September 2006 lautete die letzte Wohnadresse des Ehemannes Q-Vorstadt [...] (kantonale Akten Ehemann Nr. 47).</w:t>
      </w:r>
    </w:p>
    <w:p>
      <w:r>
        <w:rPr>
          <w:b/>
        </w:rPr>
        <w:t>E. 5.3.1</w:t>
      </w:r>
    </w:p>
    <w:p>
      <w:r>
        <w:t>Die Schwierigkeiten der Behörden, das Ehepaar via Post zu erreichen, deutet darauf hin, dass das eheliche Domizil an der X-strasse171 im Sommer 2005 nicht mehr bestand. Dies stimmt mit den Ausführungen der Beschwerdeführerin vom 9. Juli 2010 überein. Dass die Behörden über die Wechsel informiert gewesen seien, wie die Beschwerdeführerin geltend macht, wird durch die Akten nicht bestätigt. Im Weiteren ist die Erklärung der Beschwerdeführerin, sie und ihr Ehemann hätten aus finanziellen Gründen aus der Wohnung ausziehen müssen und seien, nach einem kurzen Abstecher an die X.-strasse 199, gemeinsam zu ihren Schwiegereltern gezogen, mit den Auskünften des Ehemannes vom September 2007 nicht in Übereinstimmung zu bringen. Es gibt darin keine Hinweise darauf, dass sie gemeinsam bei seinen Eltern untergekommen wären. Zwar wird aus seinen Antworten nicht klar, wohin er gegangen ist, nachdem er sich von seiner Ehefrau getrennt hatte. Die Angaben auf dem Vollzugsauftrag zum Strafvollzug vom 19. September 2006 (kantonale Akten Ehemann Nr. 47) lassen jedoch darauf schliessen, dass er zur Zeit der Verhaftung an der Q.-Vorstadt [...] gewohnt hat, der Adresse der Mutter seines Sohnes (vgl. Eingabe der Beschwerdeführerin vom 9. Juli 2010, Ziff. 3). Zudem ist, auch unter Berücksichtigung der von der Beschwerdeführerin geforderten Zurückhaltung gegenüber Aussagen von Menschen mit Drogenproblemen nicht nachvollziehbar, dass sich der Ehemann nicht daran sollte erinnern können, falls die Trennung tatsächlich erst durch seine Verhaftung im Februar 2006 zustande gekommen wäre. Die Angaben des Ehemannes, wonach die Trennung Anfang 2005 erfolgt sei, erscheinen aufgrund der Akten insgesamt plausibel.</w:t>
      </w:r>
    </w:p>
    <w:p>
      <w:r>
        <w:rPr>
          <w:b/>
        </w:rPr>
        <w:t>E. 5.3.2</w:t>
      </w:r>
    </w:p>
    <w:p>
      <w:r>
        <w:t>Es ist daher davon auszugehen, dass das Getrenntleben lange vor der Inhaftierung des Ehemannes aufgenommen wurde. Für diese Annahme spricht auch, dass er seine Hafturlaube regelmässig bei seinen Eltern und Geschwistern verbracht hat; auch nach seiner Entlassung aus dem Gefängnis bzw. Versetzung ins Electronic Monitoring kehrte er nicht zu seiner Frau zurück, sondern hielt sich bei seinen Eltern auf (vgl. kantonale Akten Beschwerdeführerin Nr. 40 bis 45). Das Scheidungsurteil von 2004 stellt ein weiteres, wenn auch aufgrund der mit seinem Zustandekommen verbundenen Vorbehalte (vgl. E. 5.1.3) nur untergeordnetes Indiz dafür dar, dass die Ehe bereits vor der Inhaftierung des Ehemannes im Februar 2006 nicht mehr intakt war. Allein der Umstand, dass ein Scheidungsverfahren eingeleitet wurde, lässt darauf schliessen, dass die Ehe bereits vor 2006 schwer belastet, wenn nicht gar gescheitert war. Auch hierdurch wird die Plausibilität der Annahme, dass die Trennung nicht erst 2006 aufgrund der Inhaftierung des Ehemannes erfolgte, bestätigt.</w:t>
      </w:r>
    </w:p>
    <w:p>
      <w:r>
        <w:rPr>
          <w:b/>
        </w:rPr>
        <w:t>E. 5.4</w:t>
      </w:r>
    </w:p>
    <w:p>
      <w:r>
        <w:t>Der ursprüngliche Zulassungsgrund - die eheliche Gemeinschaft mit einem in der Schweiz niedergelassenen Landsmann - ist somit spätestens Anfang 2005 dahingefallen, weshalb die Beschwerdeführerin sich nicht mehr auf Art. 17 Abs. 2 Satz 1 ANAG berufen kann. Durch die Trennung der Ehegatten nach höchstens drei Jahren und etwa drei Monaten, und damit deutlich vor Ablauf der in Art. 17 Abs. 2 Satz 2 ANAG statuierten fünfjährigen Dauer des ehelichen Zusammenwohnens, hat die Beschwerdeführerin auch keinen Anspruch auf Erteilung einer Niederlassungsbewilligung erworben. Dass die Praxis gewisser Kantone vorsah, einen Fall bereits nach dreijährigem Zusammenleben zur Zustimmung zu unterbreiten, wie es die Beschwerdeführerin vorbringt, vermag keinen Anspruch im Sinne von Art. 17 Abs. 2 ANAG zu begründen, sondern ist Teil des kantonalen Ermessensentscheides, der jedoch die Vorinstanz im Zustimmungsverfahren nicht zu binden vermag (vgl. BGE 127 II 49 E. 3c).</w:t>
      </w:r>
    </w:p>
    <w:p>
      <w:r>
        <w:rPr>
          <w:b/>
        </w:rPr>
        <w:t>E. 5.5</w:t>
      </w:r>
    </w:p>
    <w:p>
      <w:r>
        <w:t>Als Anspruchsnormen kommen daneben Art. 8 der Konvention vom 4. November 1950 zum Schutze der Menschenrechte und Grundfreiheiten (EMRK, SR 0.101) sowie der - soweit hier von Interesse - inhaltlich im Wesentlichen übereinstimmende Art. 13 Abs. 1 der Bundesverfassung der Schweizerischen Eidgenossenschaft vom 18. April 1999 (BV, SR 101) in Betracht, die beide ein Recht auf Achtung des Privat- und Familienlebens gewährleisten. Aufgrund der familiären Situation stellt sich vorliegend höchstens die Frage, ob die Garantie auf Achtung des Privatlebens der Beschwerdeführerin einen Aufenthaltsanspruch verschaffen könnte. Nach der bundesgerichtlichen Rechtsprechung kommt diesem Anspruch in ausländerrechtlichen Fällen zwar grundsätzlich eine selbständige Auffangfunktion gegenüber dem engeren, das Familienleben betreffenden Schutzbereich zu; allerdings bedarf es hierfür besonders intensiver, über eine normale Integration hinausgehender privater Bindungen zum ausserfamiliären bzw. ausserhäuslichen Bereich (vgl. BGE 130 II 281 E. 3.2.1 mit Hinweisen). Erforderlich ist "eine perfekte Integration, eine eigentliche Verwurzelung in der Schweiz in dem Sinn, dass die Lebensgestaltung anderswo, insbesondere im Heimatland, praktisch unmöglich erscheint" (vgl. Urteil des Bundesgerichts 2C_425/2007 vom 13. November 2007 E. 2.1.2). Eine derartige Integration und derart intensive Beziehungen werden von der Beschwerdeführerin jedoch weder in konkreter Form geltend gemacht, noch sind sie aus dem Akteninhalt ersichtlich.</w:t>
      </w:r>
    </w:p>
    <w:p>
      <w:r>
        <w:rPr>
          <w:b/>
        </w:rPr>
        <w:t>E. 6</w:t>
      </w:r>
    </w:p>
    <w:p>
      <w:r>
        <w:t>Ist ein Aufenthaltsanspruch der Beschwerdeführerin zu verneinen, stellt sich die Frage, ob im Rahmen des Ermessens die Zustimmung zur Verlängerung der Aufenthaltsbewilligung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ANAV). Dementsprechend ist eine Abwägung zwischen den öffentlichen Interessen der Schweiz und den privaten Interessen der betroffenen Person vorzunehmen, wobei ein strengerer Massstab zur Anwendung gelangt als bei jenen Aufenthaltsbewilligungen, auf die ein Rechtsanspruch besteht.</w:t>
      </w:r>
    </w:p>
    <w:p>
      <w:r>
        <w:rPr>
          <w:b/>
        </w:rPr>
        <w:t>E. 6.1</w:t>
      </w:r>
    </w:p>
    <w:p>
      <w:r>
        <w:t>Was das öffentliche Interesse anbelangt, ist festzuhalten, dass die Schweiz hinsichtlich des Aufenthaltes von Ausländerinnen und Ausländern aus dem Nicht-EU/EFTA-Raum (nachfolgend Drittstaatsangehörige) eine restriktive Politik betreibt (BGE 133 II 6 E. 6.3.1, BGE 120 Ib 1 E. 3b; vgl. statt vieler die Urteile des Bundesgerichts 2C_266/2009 vom 2. Februar 2010 E. 5 und 2C_657/2007 vom 26. Mai 2008 E. 2.2).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erreicht. Nach Aufgabe des ehelichen Zusammenwohnens, das sie von den restriktiven qualitativen und quantitativen Zulassungsvoraussetzungen der Begrenzungsverordnung ausnimmt, muss die ausländische Person dieses öffentliche Interesse grundsätzlich wieder gegen sich gelten lassen, auch wenn sie gemäss Art. 12 Abs. 2 letzter Satz BVO den Höchstzahlen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Bundesverwaltungsgerichts C-2524/2007 vom 13. August 2010 E. 4.1 mit Hinweisen).</w:t>
      </w:r>
    </w:p>
    <w:p>
      <w:r>
        <w:rPr>
          <w:b/>
        </w:rPr>
        <w:t>E. 6.2</w:t>
      </w:r>
    </w:p>
    <w:p>
      <w:r>
        <w:t>Unter dem Aspekt der Verhältnismässigkeit ist demzufolge abzuklären, ob das private Interesse der Beschwerdeführerin an einem weiteren Verbleib in der Schweiz höher zu gewichten ist als das öffentliche Interesse an der dargelegten restriktiven Ausländerpolitik. In Bezug auf die privaten Interessen ist zu prüfen, ob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 zu stellen. Dazu gehören einerseits allgemeine, von der Ehe unabhängige Elemente, wie die Dauer des Aufenthalts in der Schweiz, der Grad der sozialen und wirtschaftlichen Integration in die hiesigen Verhältnisse, das Alter und der gesundheitliche Zustand. Sind Kinder vorhanden, ist deren Alter und schulische Integration mit einzubeziehen. Zu berücksichtigen sind auch die Unterkunft und die Reintegrationsmöglichkeiten in der Heimat. Andererseits sind auch ehespezifische Elemente, wie die Dauer der Ehe und die Umstände, die zur Trennung geführt haben, zu beachten (vgl. Urteil des Bundesverwaltungsgerichts C-5358/2007 vom 29. Juli 2010 E. 4.2; ferner: Ziff. 654 ANAG-Weisungen).</w:t>
      </w:r>
    </w:p>
    <w:p>
      <w:r>
        <w:rPr>
          <w:b/>
        </w:rPr>
        <w:t>E. 6.3</w:t>
      </w:r>
    </w:p>
    <w:p>
      <w:r>
        <w:t>Die notwendige Schwere der Betroffenheit in den persönlichen Verhältnissen ist mit Blick auf die Regelung des Art. 17 Abs. 1 Satz 2 ANAG zu beurteilen. Diese Bestimmung vermittelt ausländischen Ehegatten von Ausländern mit Niederlassungsbewilligung nach fünf Jahren ordnungsgemässen und ununterbrochenen Zusammenlebens in der Schweiz einen vom weiteren Zusammenwohnen unabhängigen Anspruch auf Aufenthalt. Trennt sich das Ehepaar vor Ablauf von fünf Jahren, kommt es darauf an, welche Bedeutung den ehespezifischen Elementen im konkreten Einzelfall zukommt. Je mehr diese Elemente ins Gewicht fallen, um so eher wird man von einer hinreichend schweren Betroffenheit ausgehen können. Umgekehrt rechtfertigt sich ein umso strengerer Massstab, als sich die Härtesituation gerade nicht aus den oben genannten ehespezifischen Elementen ableiten lässt (vgl. Urteil des Bundesverwaltungsgerichts C-5358/2007 vom 29. Juli 2010 E. 4.3).</w:t>
      </w:r>
    </w:p>
    <w:p>
      <w:r>
        <w:rPr>
          <w:b/>
        </w:rPr>
        <w:t>E. 7.1</w:t>
      </w:r>
    </w:p>
    <w:p>
      <w:r>
        <w:t>Die Beschwerdeführerin reiste vor etwa neun Jahren als 21-Jährige in die Schweiz ein. Sie wohnte längstens während drei Jahren und vier Monaten mit ihrem Ehemann zusammen (vgl. oben E. 5.3). Die Ehe blieb kinderlos. Die Beschwerdeführerin arbeitete von 2004 bis April 2006 für ein Reinigungsinstitut. Danach war sie bis zum Stellenantritt als Lagermitarbeiterin im August 2007 arbeitslos. Was ihre Sprachkenntnisse anbelangt, findet sich in den Akten eine Bestätigung für einen Kurs "Deutsch in Alltag und Beruf", der von März bis Juni 2007 dauerte (kantonale Akten Beschwerdeführerin Nr. 37). Darin werden ihr Kenntnisse auf dem Niveau A1, teilweise auch A2 gemäss dem Europäischen Referenzrahmen bescheinigt. Gemäss eigenen Angaben verfügt sie in der Schweiz über ein breites soziales Netz - Geschwister und Freunde -, wohingegen sie in Mazedonien niemanden kenne. Ihre Eltern würden seit zehn Jahren in Italien leben. Die bei der Vorinstanz eingereichten Referenzschreiben von Freunden und Verwandten bescheinigen ihr für den Alltag ausreichende Sprachkenntnisse und ein liebenswürdiges Wesen (vgl. Beilagen zur Eingabe an die Vorinstanz vom 17. Januar 2008).</w:t>
      </w:r>
    </w:p>
    <w:p>
      <w:r>
        <w:rPr>
          <w:b/>
        </w:rPr>
        <w:t>E. 7.2</w:t>
      </w:r>
    </w:p>
    <w:p>
      <w:r>
        <w:t>Die Beschwerdeführerin hat sich offenbar in der Schweiz gut eingelebt und sich in beruflicher und sprachlicher Hinsicht so weit integriert, dass sie in der Lage ist, selbst für ihren Lebensunterhalt aufzukommen und den Alltag zu bewältigen. Allerdings geht diese Integration nicht über das hinaus, was nach beinahe neun Jahren erwartet werden darf. Insbesondere die sprachliche Integration erscheint vor dem Hintergrund der Dauer des Aufenthalts als unzureichend, führt man sich vor Augen, dass die Beschwerdeführerin sechs Jahre nach ihrer Ankunft einen Sprachkurs auf der untersten Stufe des Europäischen Referenzrahmens abgeschlossen hat. Keinen anderen Schluss lassen die im vorinstanzlichen Verfahren eingereichten vier Referenzschreiben (wovon zwei von Familienmitgliedern) zu. Bei der Beurteilung der Integration ist im Weiteren das Verhalten der betroffenen Person mit einzubeziehen. In dieser Hinsicht spricht die Verurteilung der Beschwerdeführerin wegen Hehlerei zu zwanzig Tagen Gefängnis bedingt, mit einer Probezeit von zwei Jahren, zu ihren Ungunsten (vgl. Strafbefehl vom 4. Januar 2006). Insgesamt kann der Integration der Beschwerdeführerin, auch unter Berücksichtigung der Aufenthaltsdauer und den in der Schweiz geknüpften Beziehungen, nicht als so weit fortgeschritten angesehen werden, dass eine Ausreise zu einer eigentlichen Entwurzelung führen würde und die Rückkehr ins Heimatland allein deshalb als unzumutbar anzusehen wäre.</w:t>
      </w:r>
    </w:p>
    <w:p>
      <w:r>
        <w:rPr>
          <w:b/>
        </w:rPr>
        <w:t>E. 7.3</w:t>
      </w:r>
    </w:p>
    <w:p>
      <w:r>
        <w:t>Was die Möglichkeit zur Reintegration in ihrem Herkunftsland anbelangt, so macht die Beschwerdeführerin geltend, sie habe vor ihrer Einreise in die Schweiz bei ihren Grosseltern gelebt, wohingegen ihre Eltern und Geschwister bereits seit zehn Jahren im Ausland gewesen seien. Heute sei ihr eine Rückkehr nicht zuzumuten, da ihre Grosseltern betagt seien und für sie kein soziales Netz knüpfen könnten. Aus der Eingabe vom 9. Juli 2010 geht überdies hervor, dass die Grossmutter der Beschwerdeführerin im Sommer 2008 tödlich verunfallt ist. In dieser Hinsicht ist der Beschwerdeführerin entgegen zu halten, dass sie bis zu ihrem 21. Lebensjahr in Mazedonien gelebt und dort die prägende Kindheit und Jugendzeit verbracht hat. Es mag sein, dass ihr Grossvater heute nicht mehr für sie sorgen könnte. Sie ist jedoch inzwischen dreissig Jahre alt und - im Gegensatz zur Zeit vor ihrer Einreise in die Schweiz - nicht mehr darauf angewiesen, dass ihre Familienmitglieder für sie sorgen. Sie kann sich selber um ihren Lebensunterhalt und die Wiederaufnahme sozialer Beziehungen, die über die engsten Familienangehörigen hinausgehen, kümmern. Da der Grossvater nach wie vor in Mazedonien lebt, ist zudem davon auszugehen, dass er ihr zumindest in der ersten Zeit nach der Rückkehr Unterkunft gewähren könnte. In wirtschaftlicher Hinsicht wird die Beschwerdeführerin in Mazedonien eine schwierige Situation antreffen (vgl. beispielsweise: Deutsches Auswärtiges Amt, im Internet unter www.auswaertiges-amt.de &gt; Länder, Reisen und Sicherheit &gt; Mazedonien &gt; Wirtschaft, Stand April 2010, Webseite besucht im September 2010). Es ist deshalb davon auszugehen, dass sie grosse Anstrengungen unternehmen muss, um ihren Lebensunterhalt zu bestreiten zu können. Allerdings wird sich ihre Situation nicht wesentlich von derjenigen anderer in Mazedonien lebender Menschen unterscheiden. Daher kann sie daraus nicht ableiten, dass die Rückkehr für sie eine besondere Härte bedeuten würde. Insgesamt ist somit davon auszugehen, dass die Wiedereingliederung nach einer verhältnismässig kurzen Zeit im Ausland möglich und zumutbar ist.</w:t>
      </w:r>
    </w:p>
    <w:p>
      <w:r>
        <w:rPr>
          <w:b/>
        </w:rPr>
        <w:t>E. 7.4</w:t>
      </w:r>
    </w:p>
    <w:p>
      <w:r>
        <w:t>Aus diesen Erwägungen geht hervor, dass die Beschwerdeführerin zur Schweiz keine so starke Bindung aufgebaut hat, dass eine Rückkehr in ihr Herkunftsland unzumutbar erschiene. Dies auch vor dem Hintergrund, dass die Ehe kinderlos blieb und der Gesundheitszustand der Beschwerdeführerin einer Rückkehr offenbar nicht entgegen steht.</w:t>
      </w:r>
    </w:p>
    <w:p>
      <w:r>
        <w:rPr>
          <w:b/>
        </w:rPr>
        <w:t>E. 8</w:t>
      </w:r>
    </w:p>
    <w:p>
      <w:r>
        <w:t>Eine wertende Gewichtung der sich gegenüber stehenden Interessen führt das Bundesverwaltungsgericht zum Schluss, dass unter den gegebenen Umständen das private Interesse der Beschwerdeführerin an der weiteren fremdenpolizeilichen Regelung ihres Aufenthaltes in der Schweiz gegenüber dem öffentlichen Interesse an der Durchsetzung der restriktiven Migrationspolitik zurückzustehen hat. Die Verweigerung der Zustimmung der Vorinstanz ist deshalb - entgegen der Vorbringen der Beschwerdeführerin - als verhältnismässige und angemessene Massnahme zu bestätigen.</w:t>
      </w:r>
    </w:p>
    <w:p>
      <w:r>
        <w:rPr>
          <w:b/>
        </w:rPr>
        <w:t>E. 9</w:t>
      </w:r>
    </w:p>
    <w:p>
      <w:r>
        <w:t>Aus der Rechtmässigkeit der Zustimmungsverweigerung folgt ohne Weiteres die Rechtmässigkeit der Wegweisung aus der Schweiz (vgl. Art. 12 Abs. 3 ANAG). Es bleibt zu prüfen, ob dem Wegweisungsvollzug Hindernisse im Sinne von Art. 14a ANAG entgegenstehen. Umstände, die den Vollzug der Wegweisung als unzulässig, unzumutbar oder unmöglich erscheinen liessen, werden weder von der Beschwerdeführerin geltend gemacht noch sind solche aus den Akten ersichtlich. Auch in dieser Hinsicht ist die angefochtene Verfügung somit zu Recht ergangen.</w:t>
      </w:r>
    </w:p>
    <w:p>
      <w:r>
        <w:rPr>
          <w:b/>
        </w:rPr>
        <w:t>E. 10</w:t>
      </w:r>
    </w:p>
    <w:p>
      <w:r>
        <w:t>Zusammenfassend ist festzuhalten, dass die angefochtene Verfügung im Ergebnis nicht zu beanstanden ist. Die Beschwerde ist demzufolge abzuweisen.</w:t>
      </w:r>
    </w:p>
    <w:p>
      <w:r>
        <w:rPr>
          <w:b/>
        </w:rPr>
        <w:t>E. 11</w:t>
      </w:r>
    </w:p>
    <w:p>
      <w:r>
        <w:t>Entsprechend dem Ausgang des Verfahrens sind der Beschwerdeführerin die Kosten aufzuerlegen (vgl. Art. 63 Abs. 1 VwVG i.V.m. Art. 1 ff.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