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C-2260/2013 vom 2. Juli 2014</w:t>
      </w:r>
    </w:p>
    <w:p>
      <w:r>
        <w:t>Bundesverwaltungsgericht, 2014-07-02, FR</w:t>
      </w:r>
    </w:p>
    <w:p>
      <w:r>
        <w:rPr>
          <w:b/>
        </w:rPr>
        <w:t xml:space="preserve">Quelle: </w:t>
      </w:r>
      <w:r>
        <w:t>https://mcp.opencaselaw.ch/entscheid/bvger_C-2260_2013</w:t>
      </w:r>
    </w:p>
    <w:p>
      <w:r>
        <w:t>FR: TAF C-2260/2013 du 2 juillet 2014</w:t>
      </w:r>
    </w:p>
    <w:p>
      <w:r>
        <w:t>IT: TAF C-2260/2013 del 2 luglio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voir également sur cette question et en rapport avec la disposition de l'art. 27 de la loi fédérale du 16 décembre 2005 sur les étrangers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ch. 3.197; Moor/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et al., op. cit., p. 24, ch. 1.54; Moor / Poltier, op. cit., ibidem). Dans son arrêt, elle prend en considération l'état de fait régnant au moment où elle statue (cf. ATAF 2013/33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publiées sur le site internet www.bfm.admin.ch &gt; Documentation &gt; Bases légales &gt; Directives et circulaires &gt; Domaine des étrangers &gt; 1 Procédure et compétences; version du 25 octobre 2013 [site internet consulté en mai 2014]). Il s'ensuit que ni le Tribunal, ni l'ODM ne sont liés par la proposition du SPOP/VD du 22 novembre 2012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(sur la portée de ces modifications, cf. parmi d'autres les arrêts du TAF C-3139/2013 du 10 mars 2014 consid. 6.2.1, C-5871/2012 du 21 octobre 2013 consid. 6.2.1),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l'ordonnance du 24 octobre 2007 relative à l'admission, au séjour et à l'exercice d'une activité lucrative (OASA, RS 142.201),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5.5</w:t>
      </w:r>
    </w:p>
    <w:p>
      <w:r>
        <w:t>Il importe de souligner que même dans l'hypothèse où les conditions prévues à l'art. 27 LEtr (disposition rédigée en la forme potestative ou "Kann-Vorschrift") seraient réunies, la recourante ne dispose d'aucun droit à la délivrance d'une telle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6.1</w:t>
      </w:r>
    </w:p>
    <w:p>
      <w:r>
        <w:t>Dans le cas d'espèce, A.________ a déposé une demande d'autorisation de séjour pour formation dans le but de suivre un cours intensif de français d'une durée de dix mois et d'obtenir ensuite un baccalauréat, puis une maîtrise en biologie à l'Unil. Elle a également indiqué qu'elle s'était inscrite à l'université de Genève, à titre subsidiaire (cf. lettre de motivation / plan d'études joint à la demande d'entrée et courrier du 28 février 2013). Or, dans son recours, A._______ indique que l'Unil a refusé son inscription en raison d'un manque d'équivalence entre le système suisse et le système britannique et qu'elle est dans l'attente de la réponse de l'université de Genève, tout en précisant qu'en cas de réponse négative, elle souhaiterait accomplir une maturité suisse auprès de l'école "Lémania" à Lausanne.</w:t>
      </w:r>
    </w:p>
    <w:p>
      <w:r>
        <w:rPr>
          <w:b/>
        </w:rPr>
        <w:t>E. 6.2</w:t>
      </w:r>
    </w:p>
    <w:p>
      <w:r>
        <w:t>Il convient dès lors d'examiner si l'intéressée remplit les conditions de l'art. 27 al. 1 let. a à d LEtr. Les conditions posées par l'art. 27 al. 1 let. b et c LEtr sont remplies en l'espèce: en effet, le père de A._______, qui vit à Aubonne depuis la mi-septembre 2012 avec son épouse et son fils cadet, touche des revenus professionnels suffisants pour assumer financièrement l'ensemble de sa famille et la loger (cf. attestation du 29 septembre 2012 et lettre de motivation / plan d'études joints à la demande d'entrée). Quant à l'examen des conditions posées par l'art. 27 al. 1 let. a et d LEtr, force est de constater que si la recourante a certes été préinscrite à l'Institut Richelieu pour y suivre un cours intensif de français à raison de 22 heures par semaine pour la période allant du 1er décembre 2012 au 30 septembre 2013 (cf. attestation du 15 octobre 2012 jointe à la demande de visa du 29 septembre 2012), l'Unil a en revanche refusé, le 14 mars 2013, son immatriculation pour y accomplir un baccalauréat universitaire en biologie au semestre d'automne 2013-2014, au motif que les conditions d'immatriculation n'étaient pas remplies (cf. décision de l'Unil du 14 mars 2013). Dans son recours, A._______ a certes indiqué qu'elle était dans l'attente de la décision de l'université de Genève quant à sa demande d'immatriculation déposée à titre subsidiaire et qu'en cas de refus de celle-ci, elle souhaiterait alors accomplir une maturité fédérale en suivant des cours auprès de l'école "Lémania" à Lausanne. A._______ n'a cependant pas communiqué au Tribunal la réponse de l'université de Genève à sa demande d'immatriculation et n'a pas davantage versé au dossier une inscription à l'école "Lémania". A ce propos, il convient de relever qu'elle avait expressément requis du Tribunal de pouvoir se déterminer sur le préavis de l'ODM et que cette occasion lui a été donnée. Dans ce contexte, elle aurait parfaitement pu signaler la suite qu'elle entendait donner à son séjour de formation en Suisse. Le Tribunal constate ainsi que A._______ n'a pas rapporté la preuve qu'elle avait le niveau de formation et les qualifications personnelles requis pour accomplir un baccalauréat universitaire en biologie à l'Unil ou à l'université de Genève, voire une maturité à l'école "Lémania". Ainsi les conditions de l'art. 27 al. 1 let. a et d LEtr ne sont pas réalisées en l'espèce. Pour ce motif déjà, la décision de l'ODM est parfaitement fondée.</w:t>
      </w:r>
    </w:p>
    <w:p>
      <w:r>
        <w:rPr>
          <w:b/>
        </w:rPr>
        <w:t>E. 6.3</w:t>
      </w:r>
    </w:p>
    <w:p>
      <w:r>
        <w:t>Dans sa décision, l'ODM a également considéré que l'objectif principal de l'intéressée n'était pas d'obtenir un diplôme d'une haute école suisse, mais de pallier au refus d'autorisation de séjour au titre du regroupement familial et de tenter ainsi d'éluder les prescriptions générales sur l'admission et le séjour des étrangers (cf. décision entreprise, p. 5). Cela étant, il convient encore d'examiner si la demande d'autorisation de séjour pour études déposée par l'intéressée est opportune et ne vise pas plutôt à éluder les prescriptions générales sur l'admission et le séjour des étrangers (cf. en ce sens art. 23 al. 2 OASA). A cet égard, les autorités doivent vérifier que la demande n'a pas pour unique but d'obtenir frauduleusement un visa pour entrer en Suisse ou dans l'Espace Schengen (cf.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w:t>
      </w:r>
    </w:p>
    <w:p>
      <w:r>
        <w:rPr>
          <w:b/>
        </w:rPr>
        <w:t>E. 6.4</w:t>
      </w:r>
    </w:p>
    <w:p>
      <w:r>
        <w:t>Il ressort des pièces du dossier que l'intéressée a déposé le 11 août 2012 une demande de regroupement familial, afin d'être autorisée à venir en Suisse avec ses parents, son frère cadet et sa soeur, procédure qui s'est soldée par une décision négative du SPOP/VD le 19 septembre 2012 (cf. consid. A). Or, dix jours plus tard, soit le 29 septembre 2012, l'intéressée a déposé une demande d'autorisation de séjour pour formation, souhaitant suivre un cours intensif de français à l'Institut Richelieu à Lausanne, afin de s'inscrire à l'Unil pour y accomplir un "Bachelor in the field of Medical Sciences". A ce propos, le Tribunal constate que ce n'est que postérieurement au refus d'autorisation de séjour pour regroupement familial que A._______ a entrepris les démarches en vue de formation en Suisse. Elle a en outre mentionné, dans sa lettre de motivation / plan d'études, qu'étant âgée de plus de dix-huit ans, elle ne pouvait pas obtenir de visa par le biais du regroupement familial et que le fait d'être acceptée à l'Institut Richelieu lui donnait l'occasion de pallier à cet état de fait. Au demeurant, le Tribunal ne peut que constater la précipitation dans laquelle cette demande d'autorisation de séjour pour études a été déposée, soit 10 jours seulement après le refus de regroupement familial en Suisse. Même si le Tribunal ne saurait remettre globalement en cause la volonté d'étudier de A._______, il n'en demeure pas moins, au vu des éléments précités, que la présente demande d'autorisation de séjour tend plutôt à un regroupement familial (qui a déjà fait l'objet d'une décision de refus par les autorités compétentes), voire à pouvoir s'établir en Suisse qu'à obtenir une autorisation de séjour strictement limitée à la formation et qu'elle vise ainsi à éluder les prescriptions générales sur l'admission et le séjour des étrangers, ce qui est expressément exclu par l'art. 23 al. 2 OASA.</w:t>
      </w:r>
    </w:p>
    <w:p>
      <w:r>
        <w:rPr>
          <w:b/>
        </w:rPr>
        <w:t>E. 7</w:t>
      </w:r>
    </w:p>
    <w:p>
      <w:r>
        <w:t>Eu égard aux considérations qui précèdent, force est de reconnaître que c'est de manière justifiée que l'autorité intimée a refusé de donner son aval à l'octroi en faveur de A._______ d'une autorisation de séjour pour études. De plus, on ne saurait reprocher à l'autorité de première instance d'avoir excédé ou abusé de son pouvoir d'appréciation dans l'examen du cas.</w:t>
      </w:r>
    </w:p>
    <w:p>
      <w:r>
        <w:rPr>
          <w:b/>
        </w:rPr>
        <w:t>E. 8</w:t>
      </w:r>
    </w:p>
    <w:p>
      <w:r>
        <w:t>La recourante n'obtenant pas d'autorisation de séjour, c'est également à bon droit que l'ODM a refusé de lui délivrer une autorisation d'entrée en Suisse destinée à lui permettre de se rendre en ce pays pour y étudier.</w:t>
      </w:r>
    </w:p>
    <w:p>
      <w:r>
        <w:rPr>
          <w:b/>
        </w:rPr>
        <w:t>E. 9</w:t>
      </w:r>
    </w:p>
    <w:p>
      <w:r>
        <w:t>Il ressort de ce qui précède que, par sa décision du 19 mars 2013,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