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C-2257/2011 vom 6. Dezember 2012</w:t>
      </w:r>
    </w:p>
    <w:p>
      <w:r>
        <w:t>Bundesverwaltungsgericht, 2012-12-06, DE</w:t>
      </w:r>
    </w:p>
    <w:p>
      <w:r>
        <w:rPr>
          <w:b/>
        </w:rPr>
        <w:t xml:space="preserve">Quelle: </w:t>
      </w:r>
      <w:r>
        <w:t>https://mcp.opencaselaw.ch/entscheid/bvger_C-2257_2011</w:t>
      </w:r>
    </w:p>
    <w:p>
      <w:r>
        <w:t>FR: TAF C-2257/2011 du 6 décembre 2012</w:t>
      </w:r>
    </w:p>
    <w:p>
      <w:r>
        <w:t>IT: TAF C-2257/2011 del 6 dicembre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BVGer A-2682/2007 vom 7. Oktober 2010 E. 1.2 und 1.3). 3.3.1 Hinsichtlich der vom Beschwerdeführer als Beweismassnahme beantragten gerichtlichen Befragung seiner Ehefrau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Überdies handelt es sich bei der Zeugeneinvernahme gemäss Art. 14 VwVG um ein subsidiäres Beweismittel; eine solche darf - der besonderen Voraussetzungen und Folgen wegen - nur ausnahmsweise angeordnet werden (vgl. dazu Urteil des Bundesgerichts 1C_427/2008 vom 2. Februar 2009 E. 2.2). Bei nicht anfechtbaren Entscheiden kann der Entscheid über die Beweisanträge im Endurteil erfolgen (Bernhard Waldmann/Jürg Bickel, in: Praxiskommentar VwVG, Waldmann/Weissenberger [Hrsg.], Zürich 2009, Art. 33 N 36). 3.2 Der entscheiderhebliche Sachverhalt erschliesst sich, wie nachfolgend zu zeigen sein wird, in hinreichender Weise aus den Akten. Von der beantragten Zeugeneinvernehme kann daher in antizipierter Beweiswürdigung ohne Verletzung des Anspruchs auf rechtliches Gehör abgesehen werden. Das Verwaltungsrechtspflegeverfahren ist sodann vom Grundsatz der Schriftlichkeit geprägt (siehe ANDRÉ MOSER/MICHAEL BEUSCH/LORENZ KNEUBÜHLER, Prozessieren vor dem Bundesverwaltungsgericht, Lausanne/Zürich/Bern 2008, Rz. 3.85/3.86 S. 143 ff.) und ein Anspruch auf mündliche Anhörung besteht nicht (BGE 134 I 140 E. 5.3 S. 148). Zudem hat sich der Beschwerdeführer zu den relevanten strittigen Fragen wiederholt schriftlich äussern können. Dem Antrag auf Zeugeneinvernahme ist deshalb nicht stattzugeben.</w:t>
      </w:r>
    </w:p>
    <w:p>
      <w:r>
        <w:rPr>
          <w:b/>
        </w:rPr>
        <w:t>E. 4.1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5.1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5.3</w:t>
      </w:r>
    </w:p>
    <w:p>
      <w:r>
        <w:t>Mit Urteil des Kreisgerichts VIII Bern-Laupen vom 25. Mai 2007 wurde der Beschwerdeführer wegen Widerhandlungen gegen das Betäubungsmittelgesetz, mehrfach und mengenmässig qualifiziert begangen, sowie wegen Pornographie zu einer Freiheitsstrafe von 24 Monaten, bedingt vollziehbar bei einer Probezeit von drei Jahren, verurteilt.</w:t>
      </w:r>
    </w:p>
    <w:p>
      <w:r>
        <w:rPr>
          <w:b/>
        </w:rPr>
        <w:t>E. 5.4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C-1379/2011 vom 15. Mai 2012 E. 5.2 mit Hinweisen). Verurteilungen zu Freiheitsstrafen wegen Drogendelikten führten denn auch nach altem Recht regelmässig zur Anordnung einer Fernhaltemassnahme (siehe Urteil des Bundesverwaltungsgerichts C-254/2012 vom 29. August 2012 E.4.4 mit Hinweisen). Was die Verurteilung aufgrund des Sexualdelikts der harten Pornografie (mit Kindern und Tieren) anbelangt, so muss - angesichts der von diesem Delikt ausgehenden potentiellen Gefahr für die Gesellschaft - selbst ein relativ geringes Rückfallrisiko nicht hingenommen werden (vgl. BGE 122 II 433 E. 2c mit Hinweisen). Aufgrund der schweren Verfehlungen (vgl. dazu BGE 135 II 377 E. 4.2) sind die Voraussetzungen für ein Einreiseverbot gemäss Art. 67 Abs. 2 Bst. a AuG zweifelsohne erfüllt.</w:t>
      </w:r>
    </w:p>
    <w:p>
      <w:r>
        <w:rPr>
          <w:b/>
        </w:rPr>
        <w:t>E. 5.5</w:t>
      </w:r>
    </w:p>
    <w:p>
      <w:r>
        <w:t>Weiter wurde der Beschwerdeführer mit Strafmandat des Untersuchungsrichteramtes IV Berner Oberland, Thun vom 14. Februar 2005 wegen eines geringfügigen Vermögensdeliktes (Diebstahl) und Hehlerei mit sieben Tagen Gefängnis, bedingt vollziehbar bei einer Probezeit von zwei Jahren, und einer Busse von Fr. 300.-- bestraft. Mit diesen Delikten hat der Beschwerdeführer ebenfalls gegen die öffentliche Sicherheit und Ordnung in der Schweiz verstossen, was es im Sinne der Rückfälligkeit zu berücksichtigen gilt.</w:t>
      </w:r>
    </w:p>
    <w:p>
      <w:r>
        <w:rPr>
          <w:b/>
        </w:rPr>
        <w:t>E. 5.6</w:t>
      </w:r>
    </w:p>
    <w:p>
      <w:r>
        <w:t>Demzufolge hat der Beschwerdeführer in mehrfacher Hinsicht gegen die öffentliche Sicherheit und Ordnung im Sinne von Art. 67 Abs. 2 Bst. a AuG verstossen. 6.Es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6.1 Mit Blick auf die Dauer der verhängten Massnahme von Belang erscheint, dass der Beschwerdeführer selbst nicht drogensüchtig ist und sich nicht auf der untersten Hierarchiestufe im Drogenhandel (in der Höhe der siebenfachen Menge eines schweren Falles sowie Besitz von pornographischem Material [sexuelle Handlungen mit Kindern und zwischen Menschen und Tieren]) befand, sowie aus rein finanziellen Motiven bereit war, durch Drogenhandel die Gesundheit einer Vielzahl von Menschen erheblichen Gefahren auszusetzen. Mitzuberücksichtigen gilt es ferner, dass er nicht selbständig vom Drogenhandel Abstand nahm, sondern erst infolge seiner Verhaftung. Sein Fehlverhalten wiegt aus präventivpolizeilicher Sicht sehr schwer. Unter dem spezifischen Aspekt des Ausländerrechts (vgl. dazu BGE 137 II 233 E. 5.2.2) muss er daher über Jahre hinweg als Risikofaktor für die öffentliche Sicherheit und Ordnung betrachtet werden, was grundsätzlich eine Fernhaltemassnahme von mehr als fünf Jahren rechtfertigt (vgl. Art. 67 Abs. 3 in fine AuG). Obwohl der Beschwerdeführer in den Genuss des bedingten Strafvollzugs kam und sich - soweit bekannt - seit den Straftaten im Jahr 2005 und 2006 nichts Weiteres zu Schulden kommen liess, lassen die näheren Umstände der Straftaten auf ein aktuelles, durch die vergleichsweise kurze Bewährungszeit (Probezeit bis Mai 2010) seit der Tatbegehung, nicht entscheidend relativiertes Rückfallrisiko schliessen (vgl. eben zitiertes Bundesgerichtsurteil). 6.2 An persönlichen Interessen macht der Beschwerdeführer in seiner Rechtsmitteleingabe geltend, er habe mit seiner Ehefrau in der Türkei bei der Schweizerischen Botschaft angefragt, ob das Einreiseverbot für einen Familienbesuch für eine bestimmte Zeit suspendiert werden könne und sie hätten eine mündliche Absage erhalten. Da er bei seinen Eltern wohne und noch keine Arbeit gefunden habe, könne seine Ehefrau ihre Erwerbstätigkeit nicht aufgeben und für ein paar Jahre zu ihm ziehen. Zudem sei die Mutter seiner Ehefrau gemäss einem Arztzeugnis auf das Zusammenleben mit ihrer Tochter angewiesen. Die familiäre Beziehung werde durch das Einreiseverbot massiv eingeschränkt. 6.3 Die Pflege regelmässiger persönlicher Kontakte zu seiner Ehefrau scheitert bereits an einem fehlenden Anwesenheitsrecht hierzulande. Somit stellt sich nunmehr die Frage, ob das über die Verweigerung des Aufenthaltsrechts hinausgehende, durch das Einreiseverbot zusätzlich bewirkte Erschwernis vor Art. 8 Ziff. 1 der Konvention vom 4. November 1950 zum Schutz der Menschenrechte und Grundfreiheiten (EMRK, SR 0.101) und Art. 13 Abs. 1 BV standhält. Der Beschwerdeführer darf sich derzeit nur zu Besuchszwecken in der Schweiz aufhalten. Eine Aufhebung des Einreiseverbots führte demnach lediglich dazu, dass er den allgemein geltenden Einreisebestimmungen (insbesondere der Visumspflicht) unterstünde (vgl. Art. 4 Abs. 1 der Verordnung vom 22. Oktober 2008 über die Einreise und die Visumserteilung [VEV, SR 142.204] mit Verweis auf die Verordnung [EG] Nr. 539/2001 des Rates vom 15. März 2001, welche im Anhang II (bzw. Anhang I) eine Liste von Drittländern enthält deren Staatsangehörige beim Überschreiten der Aussengrenzen der Schengen-Mitgliedstaaten im Besitze eines Visums sein müssen). Er könnte somit ohnehin nicht bewilligungsfrei in die Schweiz einreisen. Die Wirkungen des Einreiseverbots bestehen zudem nicht darin, dass dem Beschwerdeführer während dessen Geltungsdauer Besuchsaufenthalte bei seinen Familienangehörigen in der Schweiz schlichtweg untersagt wären. Es steht ihm vielmehr die Möglichkeit offen, aus wichtigen Gründen - worunter auch familiäre Gründe fallen - mittels begründetem Gesuch die zeitweilige Suspension der angeordneten Fernhaltemassnahme zu beantragen (Art. 67 Abs. 5 AuG). Die Suspension wird aber praxisgemäss nur für eine kurze und klar begrenzte Zeit gewährt (vgl. zum Ganzen wiederum Urteil des Bundesverwaltungsgerichts C-4509/2009 vom 7. Januar 2010 E. 7.4. mit Hinweisen). Den Akten ist zu entnehmen, dass der Beschwerdeführer von dieser Möglichkeit bereits Gebrauch gemacht hat. Die Vorinstanz hat bereits zwei Mal eine Suspension des Einreiseverbots bewilligt. Beim ersten Mal hat der Beschwerdeführer jedoch auf eine Reise in die Schweiz verzichtet. 6.4 Der Vollständigkeit halber sei sodann darauf hingewiesen, dass im Zusammenhang mit der Verweigerung der Erteilung einer Aufenthaltsbewilligung bereits festgehalten worden ist, dass dem Ehepaar zum Zeitpunkt der Eheschliessung bewusst gewesen sein muss, dass wegen der Straffälligkeit des Beschwerdeführers die Verweigerung der Aufenthaltsbewilligung drohte. Somit wurden die damit einhergehenden Einschränkungen in Kauf genommen. Selbst wenn von einem unter dem Gesichtspunkt von Art. 13 Abs. 1 BV und Art. 8 EMRK relevanten Eingriff ausgegangen würde, wäre ein solcher unter den konkreten Begebenheiten gestützt auf Art. 8 Ziff. 2 EMRK als gerechtfertigt zu qualifizieren. Gilt es doch bei der vorzunehmenden Interessenabwägung ordnungs- und sicherheitspolizeilichen Interessen besonderes Gewicht beizumessen (vgl. im Verfahren betreffend das Anwesenheitsrecht, Urteil des Bundesgerichts 2C_295/2011 vom 30. August 2011 E. 3 mit Hinweisen). Zweifellos erreicht sein Verhalten die notwendige Schwere, um einen Eingriff in das Privat- und Familienleben zu rechtfertigen.</w:t>
      </w:r>
    </w:p>
    <w:p>
      <w:r>
        <w:rPr>
          <w:b/>
        </w:rPr>
        <w:t>E. 7</w:t>
      </w:r>
    </w:p>
    <w:p>
      <w:r>
        <w:t>Eine wertende Gewichtung der sich entgegenstehenden Interessen führt das Bundesverwaltungsgericht zum Schluss, dass das auf zehn Jahre verhängte Einreiseverbot unter Berücksichtigung der gängigen Praxis in vergleichbaren Fällen sowohl dem Grundsatz nach als auch in der zeitlichen Wirkung eine verhältnismässige und angemessene Massnahme zum Schutz der öffentlichen Ordnung darstellt. 8.Entsprechend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9</w:t>
      </w:r>
    </w:p>
    <w:p>
      <w:r>
        <w:t>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