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C-2250/2008 vom 7. April 2010</w:t>
      </w:r>
    </w:p>
    <w:p>
      <w:r>
        <w:t>Bundesverwaltungsgericht, 2010-04-07, FR</w:t>
      </w:r>
    </w:p>
    <w:p>
      <w:r>
        <w:rPr>
          <w:b/>
        </w:rPr>
        <w:t xml:space="preserve">Quelle: </w:t>
      </w:r>
      <w:r>
        <w:t>https://mcp.opencaselaw.ch/entscheid/bvger_C-2250_2008</w:t>
      </w:r>
    </w:p>
    <w:p>
      <w:r>
        <w:t>FR: TAF C-2250/2008 du 7 avril 2010</w:t>
      </w:r>
    </w:p>
    <w:p>
      <w:r>
        <w:t>IT: TAF C-2250/2008 del 7 aprile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(cf. l'accord entre la Suisse et la Communauté européenne et ses Etats membres sur la libre circulation des personnes du 21 juin 1999 [ALCP, RS 0.142.112.681], Annexe II art. 1er ch. 2), les ressortissants suisses et de l'Union européenne qui présentent un degré d'invalidité de 40% au moins, ont droit à un quart de rente en application de l'art. 28 al. 2 LAI à partir du 1er juin 2002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demi-rente par décision du 7 octobre 2002 de l'OAIE est la base de comparaison avec la décision de suppression du 3 mars 2008.</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Le litige porte sur la question de savoir si l'OAIE était fondé, par sa décision du 3 mars 2008, à supprimer à partir du 1er mai 2008 la demi-rente d'invalidité dont bénéficiait le recourant depuis le 1er janvier 2000 au motif d'une reconsidération de la décision du 7 octobre 2002 qualifiée de manifestement erronée. Il est en revanche constant que les conditions d'une révision au sens de l'art. 17 LPGA ne sont pas réunies en l'espèce, dans la mesure où il n'est pas allégué que l'état de santé de l'intéressé s'est amélioré depuis l'octroi de la demi-rente d'invalidité.</w:t>
      </w:r>
    </w:p>
    <w:p>
      <w:r>
        <w:rPr>
          <w:b/>
        </w:rPr>
        <w:t>E. 9.2</w:t>
      </w:r>
    </w:p>
    <w:p>
      <w:r>
        <w:t>Lors de l'octroi de la demi-rente par décision du 7 octobre 2002, l'OAI-GE a pris en compte un status stabilisé depuis 2000 permettant sur le plan rhumatologique une capacité de travail estimée à 50% dans la profession de l'intéressé, une reprise d'activité à plein temps ne paraissant pas envisageable, en relation avec un status psychologique de trouble dépressif récurrent moyen avec syndrome somatique (rapports des Drs D._______ du 29 mars 2000 et C._______ du 1er mars 2001). Cette appréciation a été confirmée par le rapport de la Polyclinique médicale universitaire du 13 décembre 2001 qui retint sur le plan psychiatrique le diagnostic de troubles anxieux et dépressifs mixtes entraînant une incapacité de travail de l'ordre de 60% et, sur le plan rhumatologique, une fatigabilité douloureuse à l'effort en relation avec les membres inférieurs générant une incapacité de travail de 50% en position debout active dans la restauration mais de 0% dans une activité de type administrative et d'accueil. En concilium, les experts ont toutefois retenu une capacité de travail de 50% dans son activité antérieure et de 70% dans une activité adaptée, avec possibilité d'amélioration du point de vue psychique. Selon l'OAI-GE, la décision prise le 7 octobre 2002 était manifes-tement fausse parce que elle n'aurait pas tenu compte des rapports des Drs F._______ et G._______, respectivement des 11 et 22 janvier 2002. Ces médecins n'ont pas admis que la pathologie psychiatrique avait une incidence sur la capacité de travail. Par conséquent, à leur avis, l'intéressé aurait pu reprendre son activité d'adjoint de direction à temps complet.</w:t>
      </w:r>
    </w:p>
    <w:p>
      <w:r>
        <w:rPr>
          <w:b/>
        </w:rPr>
        <w:t>E. 9.3</w:t>
      </w:r>
    </w:p>
    <w:p>
      <w:r>
        <w:t>Force est de constater que les rapports des Drs F._______ et G._______ ont été réceptionnés par l'OAI-GE les 14 janvier et 14 février 2002 (dans tous les cas avant le 18 mars 2002 vu la note de la même date du Dr E._______, pce 103). En outre, ils sont bien antérieurs à la décision du 7 octobre 2002. Indépendemment de la question de savoir si on peut les qualifier de faits nouveaux, ce qui reste sans importance du fait que l'administration a de toute façon la possibilité de reconsidérer ses décisions en vertu de l'art. 53 al. 2 LPGA, il faut admettre avec l'Office AI cantonal que le rapport de la division de réadaptation professionnelle du 13 mai 2002 ne les mentionne pas. Or, ce rapport est à la base de la décision du 7 octobre 2002. Ce fait ne signifie toutefois pas que la décision du 7 octobre 2002 doive être qualifiée rétrospectivement de manifestement erronée. En effet, le rapport du 13 mai 2002 s'est basé sur une autre expertise approfondie, à savoir celle du 13 décembre 2001 de la Polyclinique médicale universitaire. Lors de cet examen, l'influence de la pathologie psychiatrique a été examinée. En outre, l'Office AI cantonal, avant de rendre la décision du 7 mai 2002 a encore versé aux actes les rapports des Drs H._______ du 7 mars 2002 et D._______ du 2 avril 2002 qui attestent une hospitalisation d'une semaine et une incapacité de travail. La portée de l'expertise du Dr G._______, qui est spécialiste en orthopédie, doit en outre être relativisée parce qu'elle ne concerne que les conséquences de l'accident du 5 juillet 1995 et que cet expert n'avait pas à traiter particulièrement la pathologie psychique. Par ailleurs, il ressort des notes internes rédigées les 9 et 16 septembre 2003 par le Dr E._______ que l'expertise du Dr F._______ n'avait pas été prise en compte comme il l'aurait dû. Toutefois, le Dr E._______ a renvoyé l'examen d'une éventuelle amélioration de l'état de santé de l'intéressé à la prochaine révision d'office, ce qui fournit un indice supplémentaire pour supposer que la décision du 7 octobre 2002 n'était pas manifestement erronée (pces 129 et 130). La division de réadaptation professionnelle a également tenu compte du fait que l'intéressé n'aurait pas pu reprendre un travail avec des responsabilités et que la réelle activité de l'assuré était celle d'un chef de rang dans la restauration et non celle d'un assistant de direction (cf. pce 119 p. 2). En ces circonstances, le Tribunal de céans ne peut pas retenir que, lors de la décision du 7 octobre 2002, l'appréciation de l'Office AI cantonal était manifestement erronée. Les conditions pour procéder à une reconsidération au sens de l'art. 53 al. 2 LPGA ne sont donc pas réunies. Il est ici utile de rappeler que, d'après la jurisprudence mentionnée dans le consid. 6.2, dans le cadre d'une reconsidération, il n'est pas admissible de procéder à une nouvelle appréciation d'un cas mais seulement de corriger les erreurs manifestes. Pour être complet, le Tribunal de céans relève que la décision du 3 mars 2008 ne peut pas être confirmée aussi pour une autre raison. L'OAIE a limité son examen à la question de savoir si la décision du 7 octobre 2002 était manifestement erronée. Or, en principe, même lors d'une reconsidération, il aurait été indispensable d'examiner si un éventuel droit à une rente d'invalidité était survenu jusqu'à la date de la décision attaquée, à savoir le 3 mars 2008, date qui limite le pouvoir d'examen du Tribunal de céans. Il appert de ce qui précède que le recours doit être admis et la décision attaquée annulée, A._______ ayant droit à une demi-rente d'invalidité même après le 1er mai 2008.</w:t>
      </w:r>
    </w:p>
    <w:p>
      <w:r>
        <w:rPr>
          <w:b/>
        </w:rPr>
        <w:t>E. 10.1</w:t>
      </w:r>
    </w:p>
    <w:p>
      <w:r>
        <w:t>Le recourant ayant eu gain de cause, il n'est pas perçu de frais de procédure (art. 63 PA) et le montant de Fr. 300.- versé à titre d'avance de frais lui est restitué.</w:t>
      </w:r>
    </w:p>
    <w:p>
      <w:r>
        <w:rPr>
          <w:b/>
        </w:rPr>
        <w:t>E. 10.2</w:t>
      </w:r>
    </w:p>
    <w:p>
      <w:r>
        <w:t>Le recourant ayant agi en étant représenté, il lui est allouée une indemnité de dépens de Fr. 2'500.- (art. 64 al. 1 PA et art. 7 ss du règlement du 21 février 2008 concernant les frais, dépens et indemnités fixés par le Tribunal administratif fédéral [FITAF, RS 173.320.2]), compte tenu de la difficulté de la cause et du volume du dossier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