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C-2248/2008 vom 25. August 2008</w:t>
      </w:r>
    </w:p>
    <w:p>
      <w:r>
        <w:t>Bundesverwaltungsgericht, 2008-08-25, DE</w:t>
      </w:r>
    </w:p>
    <w:p>
      <w:r>
        <w:rPr>
          <w:b/>
        </w:rPr>
        <w:t xml:space="preserve">Quelle: </w:t>
      </w:r>
      <w:r>
        <w:t>https://mcp.opencaselaw.ch/entscheid/bvger_C-2248_2008</w:t>
      </w:r>
    </w:p>
    <w:p>
      <w:r>
        <w:t>FR: TAF C-2248/2008 du 25 août 2008</w:t>
      </w:r>
    </w:p>
    <w:p>
      <w:r>
        <w:t>IT: TAF C-2248/2008 del 25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gemäss Art. 48 VwVG zur Beschwerde legitimiert; auf die frist- und formgerecht eingereichte Beschwerde ist einzutreten (Art. 50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2.1</w:t>
      </w:r>
    </w:p>
    <w:p>
      <w:r>
        <w:t>Die Schweiz ist - wie alle anderen Staaten - grundsätzlich nicht gehalten, Ausländerinnen und Ausländern die Einreise zu gestatten. Vorbehältlich der völkerrechtlichen Verpflichtungen handelt es sich dabei um einen autonomen Entscheid (vgl. Botschaft zum Bundesgesetz über Ausländerinnen und Ausländer vom 8. März 2008, BBl 2002 3774). Dies bedeutet, dass die schweizerische Rechtsordnung weder ein allgemeines Recht auf Einreise kennt noch einen besonderen Anspruch auf Erteilung eines Visums einräumt (Urteil des Bundesverwaltungsgerichts C-494/2008 vom 28. Januar 2008; BBl 2002 3774; vgl. ferner BGE 133 I 185 E. 2.3 sowie zur Rechtslage vor Inkrafttreten des AuG: Peter Uebersax, Einreise und Anwesenheit in: Peter Uebersax / Peter Münch / Thomas Geiser / Martin Arnold (Hrsg.), Ausländerrecht, Ausländerinnen und Ausländer im öffentlichen Recht, Privatrecht, Steuerrecht und Sozialrecht der Schweiz, Basel/Genf/München 2002, S. 143). Im Falle einer Einreisebewilligung kommt hinzu, dass der Spielraum für das behördliche Ermessen (vgl. Art. 96 Abs. 1 des Bundesgesetzes vom 16. Dezember 2005 über die Ausländerinnen und Ausländer [AuG, SR 142.20]) umfangreicher ist,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w:t>
      </w:r>
    </w:p>
    <w:p>
      <w:r>
        <w:rPr>
          <w:b/>
        </w:rPr>
        <w:t>E. 2.2</w:t>
      </w:r>
    </w:p>
    <w:p>
      <w:r>
        <w:t>Ausländerinnen und Ausländer benötigen zur Einreise in die Schweiz ein für den Grenzübertritt anerkanntes Ausweispapier und ein Visum, sofern sie nicht von der Visumpflicht befreit sind (vgl. Art. 5 Abs. 1 Bst. a AuG i.V.m. Art. 3 ff. der Verordnung vom 24. Oktober 2007 über das Einreise- und Visumverfahren [VEV, SR 142.204]). Um ein Visum zu erhalten, müssen sie ferner die in Art. 5 AuG aufgeführten Einreisevoraussetzungen (vgl. auch Art. 1 Abs. 1 VEV) erfüllen. Sie haben unter anderem, wenn nur ein vorübergehender Aufenthalt vorgesehen ist, Gewähr für eine gesicherte Wiederausreise zu bieten (Art. 5 Abs. 2 AuG). Für die Erteilung von Einreisevisa ist das BFM zuständig (Art. 23 Abs. 1 VEV i.V.m. Art. 6 Abs. 1 und 2 AuG).</w:t>
      </w:r>
    </w:p>
    <w:p>
      <w:r>
        <w:rPr>
          <w:b/>
        </w:rPr>
        <w:t>E. 3.1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3.2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3.3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3.4</w:t>
      </w:r>
    </w:p>
    <w:p>
      <w:r>
        <w:t>Auf den Philippinen sind fraglos breite Bevölkerungsschichten von vergleichsweise kargen wirtschaftlichen und sozialen Lebensbedingungen betroffen. Immer wiederkehrende politische Turbulenzen und die hohe Staats- und Auslandverschuldung haben das Land in der Entwicklung und im Vergleich zu den Nachbarländern zurückgeworfen. Mittlerweile zeichnet sich zwar wieder ein wirtschaftlicher Aufschwung mit Wachstumsraten von 5-6% ab. Die innenpolitische Lage ist jedoch immer noch instabil. Die Bevölkerung leidet unter einer hohen Kriminalitätsrate und krassen Ungleichheiten bei der Einkommensverteilung. Nach Angaben der Asiatischen Entwicklungsbank hatten im Jahr 2003 44,1% der Bevölkerung weniger als zwei US-Dollar (USD) pro Tag zur Verfügung und 11,1% waren von absoluter Armut (weniger als ein USD pro Tag) betroffen. Angesichts des starken Bevölkerungswachstums stellt die Arbeitslosigkeit ein zunehmendes Problem dar. Zwar ist die Arbeitslosenrate 2005 offiziell von 11,8% auf 7,4% zurückgegangen, doch dürfte dieser Rückgang auf eine neue Definition von Arbeitslosigkeit zurückzuführen und die tatsächliche Arbeitslosenrate unverändert geblieben sein. Zu den offiziellen Arbeitslosen kommen rund 21% Unterbeschäftigte hinzu. So darf denn auch bezüglich des wirtschaftlichen Wachstums nicht ausser Acht gelassen werden, dass dieses zu einem erheblichen Teil auf dem steigenden Inlandkonsum beruht, der durch hohe Rücküberweisungen von im Ausland lebenden Bürgern - rund 10% der Bevölkerung - angekurbelt wird. Arbeitslosigkeit, starkes Bevölkerungswachstum und Armut sind denn auch ein grosser Motivationsfaktor für die erwerbsfähige Bevölkerung, sich im Ausland Arbeit zu suchen. Selbst die Regierung fördert gezielt die Entsendung von Gastarbeitern ins Ausland. So verlassen rund eine Million Menschen jährlich die Philippinen, um im Ausland Arbeit zu suchen. Von im Ausland beschäftigten Philippinos werden schätzungsweise 12-15 Mrd. USD jährlich zurück in ihre Heimat überwiesen (Quelle: www.auswaertiges-amt.de, Stand Februar 2007; besucht am 18. August 2008). Diese Tendenz zur Auswanderung wird erfahrungsgemäss dort noch begünstigt, wo im Zielland durch die Präsenz von Verwandten, Freunden oder Bekannten bereits ein soziales Beziehungsnetz besteht.</w:t>
      </w:r>
    </w:p>
    <w:p>
      <w:r>
        <w:rPr>
          <w:b/>
        </w:rPr>
        <w:t>E. 4.1</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4.2</w:t>
      </w:r>
    </w:p>
    <w:p>
      <w:r>
        <w:t>Bei der Eingeladenen handelt es sich um eine 41-jährige, unverheiratete Frau, welche zurzeit keiner geregelten Erwerbstätigkeit nachgeht und somit beruflich nicht in der Arbeitswelt integriert ist (vgl. Ziff. 9 und 10 des persönlichen Einreisegesuches vom 28. Februar 2008 sowie den von den Gastgebern ausgefüllten, kantonalen Auskunftsbogen). Der Beschwerdeführer verweist hingegen auf das intakte familiäre Umfeld der eingeladenen Schwägerin auf den Philippinen und bringt in diesem Zusammenhang vor, die Gesuchstellerin habe als Mutter eines (zehnjährigen) Kindes familiäre Verpflichtungen wahrzunehmen. Dieses Argument vermag nach Ansicht des Bundesverwaltungsgerichts schon deshalb nicht zu überzeugen, weil der Umstand, dass gleich eine dreimonatige Landesabwesenheit geplant ist, nicht ohne weiteres darauf schliessen lässt, die Präsenz der Gesuchstellerin sei für die Belange ihrer Familie unverzichtbar; aufgrund der Aktenlage ist eher davon auszugehen, die Betreuung ihres schulpflichtigen Sohnes könne durchaus für längere Zeit auch auf andere Weise sichergestellt werden. Insofern darf bezweifelt werden, dass der Eingeladenen im Heimatland zwingende Verpflichtungen obliegen, die sie ernsthaft von einer Emigration abzuhalten vermöchten, zumal sie mit ihrer im Kanton St. Gallen lebenden und mit einem Schweizerbürger verheirateten Schwester bereits über eine wichtige Bezugsperson in der Schweiz verfügt.</w:t>
      </w:r>
    </w:p>
    <w:p>
      <w:r>
        <w:rPr>
          <w:b/>
        </w:rPr>
        <w:t>E. 4.3</w:t>
      </w:r>
    </w:p>
    <w:p>
      <w:r>
        <w:t>Berücksichtigt man zudem die oben erwähnte allgemeine wirtschaftliche Lage auf den Philippinen, dürften die mittelfristigen Zukunftsaussichten der Eingeladenen zumindest als schwierig einzustufen sein. In Anbetracht feststellbarer Differenzen betreffend Lebensqualität, soziale Absicherung und Lohnniveau könnte nämlich selbst eine feste Arbeitsstelle im Heimatland für sich alleine nicht verlässlich vom Entschluss abhalten, aus dem Land zu emigrieren; ebenso wenig zurückbleibende Familienangehörige. Vielmehr könnte die Absicht auszuwandern gar von der Hoffnung getragen sein, die auf den Philippinen lebenden Angehörigen aus dem Ausland wirtschaftlich besser unterstützen und (den minderjährigen Sohn) allenfalls später gar nachziehen zu können. Vor diesem Hintergrund müssen die Beteuerungen auf Beschwerdeebene, wonach genügend Garantien für eine fristgerechte Wiederausreise vorhanden seien, als nicht ausschlaggebend bezeichnet werden. Im Übrigen hegte auch die Schweizerische Vertretung in Manila, welche mit den sozialen, wirtschaftlichen und politischen Verhältnissen im Herkunftsstaat der Gesuchstellerin gut vertraut ist und sich somit durchaus ein Bild der Einreisewilligen machen kann, grosse Bedenken bezüglich der anstandslosen Wiederausreise und verweigerte formlos die Einreisebewilligung.</w:t>
      </w:r>
    </w:p>
    <w:p>
      <w:r>
        <w:rPr>
          <w:b/>
        </w:rPr>
        <w:t>E. 4.4</w:t>
      </w:r>
    </w:p>
    <w:p>
      <w:r>
        <w:t>Nach dem Gesagten durfte die Vorinstanz daher zu Recht davon ausgehen, es bestehe zu wenig Gewähr für eine fristgerechte Wiederausreise. An der Richtigkeit dieser Einschätzung ändert auch die Tatsache nichts, dass der Beschwerdeführer die rechtzeitige Rückkehr der Eingeladenen zusichert; denn eine solche Garantie ist trotz bester und ehrlicher Absichten nicht möglich bzw. rechtlich nicht durchsetzbar. Gastgeber können zwar für gewisse finanzielle Risiken im Zusammenhang mit dem Besuchsaufenthalt (vgl. Art. 6-10 VEV), nicht aber - mangels rechtlicher und faktischer Durchsetzbarkeit - für ein bestimmtes Verhalten ihrer Gäste garantieren (vgl. anstelle vieler: Urteil des Bundesverwaltungsgerichts C-2341/2006 vom 7. August 2007 E. 6). Insofern erweist sich der Vorschlag des Beschwerdeführers, eine grössere Geldsumme als Kaution zu hinterlegen, als unbehelflich. Auch die weiteren Ausführungen des Beschwerdeführers sind nicht geeignet, zu einer von der Vorinstanz abweichenden, rechtlichen Würdigung zu gelangen. Bei dieser Sachlage kann letztlich die Frage offen gelassen werden, ob die Beteiligten durch das Verschweigen wesentlicher Tatsachen im Gesuchsverfahren - nämlich die Existenz des zehnjährigen Sohnes der Eingeladenen - die Behörden bewusst täuschen wollten, um das Visum zu erschleichen (womit ein weiterer Grund für die Verweigerung des beantragten Einreisevisums vorliegen würde; vgl. Art. 16 Abs. 1 Bst. c VEV).</w:t>
      </w:r>
    </w:p>
    <w:p>
      <w:r>
        <w:rPr>
          <w:b/>
        </w:rPr>
        <w:t>E. 5</w:t>
      </w:r>
    </w:p>
    <w:p>
      <w:r>
        <w:t>Aus den dargelegten Gründen ist somit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6</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