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C-2241/2016 vom 2. November 2017</w:t>
      </w:r>
    </w:p>
    <w:p>
      <w:r>
        <w:t>Bundesverwaltungsgericht, 2017-11-02, DE</w:t>
      </w:r>
    </w:p>
    <w:p>
      <w:r>
        <w:rPr>
          <w:b/>
        </w:rPr>
        <w:t xml:space="preserve">Quelle: </w:t>
      </w:r>
      <w:r>
        <w:t>https://mcp.opencaselaw.ch/entscheid/bvger_C-2241_2016</w:t>
      </w:r>
    </w:p>
    <w:p>
      <w:r>
        <w:t>FR: TAF C-2241/2016 du 2 novembre 2017</w:t>
      </w:r>
    </w:p>
    <w:p>
      <w:r>
        <w:t>IT: TAF C-2241/2016 del 2 novembre 2017</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und der Beschwerdeführer ist als Adressat der angefochtenen Verfügung durch diese besonders berührt und hat ein schutzwürdiges Interesse an deren Aufhebung oder Abänderung, weshalb er zur Erhebung der Beschwerde legitimiert ist (Art. 59 ATSG [SR 830.1]; vgl. auch Art. 48 Abs. 1 VwVG).</w:t>
      </w:r>
    </w:p>
    <w:p>
      <w:r>
        <w:rPr>
          <w:b/>
        </w:rPr>
        <w:t>E. 1.2</w:t>
      </w:r>
    </w:p>
    <w:p>
      <w:r>
        <w:t>Gemäss Art. 60 Abs. 1 ATSG ist die Beschwerde innerhalb von 30 Tagen seit der Eröffnung einzureichen. Mit Eingabe an die Vorinstanz vom 10. März 2016 (Posteingang IVSTA: 05.04.2016) hat der Beschwerdeführer die 30-tägige Beschwerdefrist unter Berücksichtigung der Stillstandsfristen (Art. 60 Abs. 2 i.V.m. Art. 38 Abs. 2 Bst. a ATSG; vgl. auch Art. 22a VwVG) gewahrt, zumal auch eine Eingabe an die unzuständige Behörde die Frist wahrt (Art. 21 Abs. 2 VwVG) und eine Überweisungspflicht an die zuständige Behörde besteht (Art. 8 Abs. 1 VwVG; vgl. auch BVGer act. 11). Die Eingabe vom 10. März 2016 erfüllt zusammen mit der Ergänzung vom 8. April 2016 auch die Formerfordernisse (Art. 52 Abs. 1 VwVG). Auf die Beschwerde ist demnach - nachdem auch die unentgeltliche Prozessführung gewährt wurde (vgl. Sachverhalt, Bst. C.m. hievor) - vorbehältlich der nachfolgenden Einschränkungen (nachstehende E. 2) einzutreten.</w:t>
      </w:r>
    </w:p>
    <w:p>
      <w:r>
        <w:rPr>
          <w:b/>
        </w:rPr>
        <w:t>E. 2.1</w:t>
      </w:r>
    </w:p>
    <w:p>
      <w:r>
        <w:t>Vorliegend ist unbestritten, dass der Beschwerdeführer für die Zeit vom 1. Februar 2003 bis 30. April 2004 einen Anspruch auf eine ganze Invalidenrente hat. Umstritten und nachfolgend zu prüfen ist demgegenüber die Frage, ob er auch für die Zeit ab 1. Mai 2004 einen Anspruch auf eine Invalidenrente hat.</w:t>
      </w:r>
    </w:p>
    <w:p>
      <w:r>
        <w:rPr>
          <w:b/>
        </w:rPr>
        <w:t>E. 2.2</w:t>
      </w:r>
    </w:p>
    <w:p>
      <w:r>
        <w:t>Mit Eingabe seiner Vertreterin vom 8. April 2016 (BVGer act. 1, Ziff. 4) stellt der Beschwerdeführer den Antrag, es sei ihm aufgrund der dauernden und erheblichen Schädigung ein Anspruch auf Integritätsentschädigung zuzusprechen. Auf diesen Antrag kann im vorliegenden Beschwerdeverfahren nicht eingetreten werden. Zum einen fehlt es diesbezüglich an einem Anfechtungsobjekt, da die Vorinstanz darüber nicht befunden hat und auch nicht hat entscheiden können. Zum anderen ist die Integritätsentschädigung - anders als im Unfallversicherungsrecht (vgl. dazu Art. 24 f. UVG [SR 832.20]) - im gesetzlichen Leistungskatalog des IVG auch gar nicht vorgesehen (vgl. dazu Art. 3a ff, Art. 12 ff., Art. 14a und Art. 15 ff., Art. 21 und 22 ff., Art. 28 ff., Art. 42 ff. IVG).</w:t>
      </w:r>
    </w:p>
    <w:p>
      <w:r>
        <w:rPr>
          <w:b/>
        </w:rPr>
        <w:t>E. 2.3</w:t>
      </w:r>
    </w:p>
    <w:p>
      <w:r>
        <w:t>Aus den vorliegenden Akten geht hervor, dass der Beschwerdeführer lediglich bis Ende Dezember 2000 in der Schweiz erwerbstätig war. So gab er in der Anmeldung zum Bezug von IV-Leistungen für Erwachsene an, bis am 31. Dezember 2000 bei der (...) AG in (...) als Hilfsarbeiter gearbeitet zu haben und keine Leistungen der SUVA oder einer anderen Versicherung zu beziehen. Zur krankheits- oder unfallbedingten Arbeitsunfähigkeit führte er sinngemäss aus, über keine Versicherung zu verfügen. Im Zeitpunkt des Verkehrsunfalls vom 10. Oktober 2001 hielt er sich bereits seit Längerem in seiner Heimat im Kosovo auf (act. 2, S. 4; act. 125, S. 14). Mithin ist davon auszugehen, dass keine Unfallversicherungsdeckung in der Schweiz besteht, zumal aus den Akten keine gegenteiligen Hinweise ersichtlich sind und selbst beim Abschluss einer Abredeversicherung nach UVG die Deckung auf maximal sechs Monate beschränkt gewesen wäre. Ein Beizug von Unfallversicherungsakten fällt dementsprechend vorliegend ausser Betracht (vgl. zur Berücksichtigung rechtskräftig abgeschlossener UVG-Verfahren BGE 133 V 549 E. 6.4).</w:t>
      </w:r>
    </w:p>
    <w:p>
      <w:r>
        <w:rPr>
          <w:b/>
        </w:rPr>
        <w:t>E. 3.1</w:t>
      </w:r>
    </w:p>
    <w:p>
      <w:r>
        <w:t>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3.2</w:t>
      </w:r>
    </w:p>
    <w:p>
      <w:r>
        <w:t>Demnach ist vorliegend grundsätzlich auf den bis zum Zeitpunkt des Erlasses der streitigen Verfügung (hier: 15. Februar 2016) eingetretenen Sachverhalt abzustellen.</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w:t>
      </w:r>
    </w:p>
    <w:p>
      <w:r>
        <w:rPr>
          <w:b/>
        </w:rPr>
        <w:t>E. 4</w:t>
      </w:r>
    </w:p>
    <w:p>
      <w:r>
        <w:t>Im Folgenden sind vorab die im vorliegenden Verfahren anwendbaren Normen und Rechtsgrundsätze darzustellen.</w:t>
      </w:r>
    </w:p>
    <w:p>
      <w:r>
        <w:rPr>
          <w:b/>
        </w:rPr>
        <w:t>E. 4.1</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fallen demgegenüber gemäss Art. 25 des Sozialversicherungsabkommens in den Anwendungsbereich der Regeln über den Besitzstand (BGE 139 V 335 E. 6.1).</w:t>
      </w:r>
    </w:p>
    <w:p>
      <w:r>
        <w:rPr>
          <w:b/>
        </w:rPr>
        <w:t>E. 4.2</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 Dies bedeutet, dass zu prüfen ist, ob im Moment der Entstehung des Rentenanspruchs des Beschwerdeführers das Sozialversicherungsabkommen für ihn (noch) Gültigkeit besass. Keine relevante Bedeutung beizumessen ist in diesem Zusammenhang hingegen dem Zeitpunkt des Verfügungserlasses (BGE 139 V 335 E. 6.2). Vorliegend ist unbestritten, dass der Rentenanspruch am 1. Februar 2003 entstanden ist. Das Sozialversicherungsabkommen findet dementsprechend hier Anwendung.</w:t>
      </w:r>
    </w:p>
    <w:p>
      <w:r>
        <w:rPr>
          <w:b/>
        </w:rPr>
        <w:t>E. 4.3</w:t>
      </w:r>
    </w:p>
    <w:p>
      <w:r>
        <w:t>Der Rentenanspruch bestimmt sich gemäss Art. 4 des Sozialversicherungsabkommens ausschliesslich nach dem internen schweizerischen Recht, so dass im vorliegenden Verfahren unabhängig von der Anwendbarkeit des Sozialversicherungsabkommens schweizerisches Recht anwendbar ist.</w:t>
      </w:r>
    </w:p>
    <w:p>
      <w:r>
        <w:rPr>
          <w:b/>
        </w:rPr>
        <w:t>E. 4.4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vorliegend in den Jahren 1986 bis 2000 - mit kurzen Unterbrüchen - während insgesamt 163 Monaten Beiträge an die schweizerische AHV/IV geleistet (Beilage zu BVGer act. 1, S. 6); er erfüllt mithin ohne Weiteres die Mindestbeitragsdauer für den Anspruch auf eine ordentliche Invalidenrente.</w:t>
      </w:r>
    </w:p>
    <w:p>
      <w:r>
        <w:rPr>
          <w:b/>
        </w:rPr>
        <w:t>E. 4.5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sieht das vorliegend zur Anwendung gelangende Sozialversicherungsabkommen nicht vor. Ein Rentenanspruch kann in solchen Fällen nur und erst entstehen, wenn die versicherte Person während eines Jahres durchschnittlich zu mindestens 50 % arbeitsunfähig gewesen ist und der Invaliditätsgrad nach Ablauf der Wartefrist mindestens 50 % beträgt (BGE 121 V 24 E. 6).</w:t>
      </w:r>
    </w:p>
    <w:p>
      <w:r>
        <w:rPr>
          <w:b/>
        </w:rPr>
        <w:t>E. 4.7</w:t>
      </w:r>
    </w:p>
    <w:p>
      <w:r>
        <w:t>Eine rückwirkend ergangene Verfügung über eine befristete oder im Sinne einer Reduktion abgestufte Invalidenrente umfasst einerseits die Zusprechung der Leistung und andererseits deren Aufhebung oder Herabsetzung. Letztere setzt voraus, dass Revisionsgründe (Art. 17 Abs. 1 ATSG;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respektive Herabsetzung der Rente (BGE 125 V 413 E. 2d S. 418 am Ende, 368 E. 2 S. 369, 113 V 273 E. 1a S. 275; vgl. auch Ulrich Meyer/Marco Reichmuth, Bundesgesetz über die Invalidenversicherung, 3. Aufl. 2014, Art. 30 - 31 N. 103). Wird rückwirkend eine abgestufte und/oder befristete Rente zugesprochen, sind einerseits der Moment des Rentenbeginns und anderseits der in Anwendung der Dreimonatsfrist von Art. 88a Abs. 1 IVV festzusetzende Zeitpunkt der Rentenherabsetzung oder -aufhebung die massgebenden zeitlichen Vergleichsgrössen (Urteil des Eidgenössischen Versicherungsgerichts [EVG; ab 1. Januar 2007 Sozialrechtliche Abteilungen des Bundesgerichts]; Urteil des EVG 568/06 vom 22. November 2006 E. 3.2 in fine). Für die Prüfung des Rentenanspruchs ab April 2004 ist demnach auf die Verhältnisse im Jahr 2004 abzustellen.</w:t>
      </w:r>
    </w:p>
    <w:p>
      <w:r>
        <w:rPr>
          <w:b/>
        </w:rPr>
        <w:t>E. 4.8.1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4.8.2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4.8.3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4.8.4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4.9</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w:t>
      </w:r>
    </w:p>
    <w:p>
      <w:r>
        <w:t>Nachfolgend ist vorab zu prüfen, ob die Vorinstanz ihrer Abklärungspflicht im Sinne von Art. 43 Abs. 1 ATSG rechtsgenüglich nachgekommen ist.</w:t>
      </w:r>
    </w:p>
    <w:p>
      <w:r>
        <w:rPr>
          <w:b/>
        </w:rPr>
        <w:t>E. 5.1</w:t>
      </w:r>
    </w:p>
    <w:p>
      <w:r>
        <w:t>Hinsichtlich der Beurteilung des Gesundheitszustandes und der Leistungsfähigkeit des Beschwerdeführers im Zeitpunkt der angefochtenen Verfügung liegen insbesondere die folgenden Gutachten und Arztberichte vor: -Mit Bericht vom 7. Dezember 2004 hielt Dr. med. M._______, Facharzt für Allgemeinmedizin FMH beim medizinischen Dienst der Vorinstanz, als Diagnosen einen Status nach Trauma am rechten Unterschenkel (10.10.2001) mit offener Trümmerfraktur, einen Status nach Hautdefekt (plastisch gedeckt), eine chronische Osteomyelitis sowie eine Peronaeusläsion fest. Ferner führte er aus, das einzige einigermassen aktuelle Dokument sei der Bericht des Spezialisten für Orthopädie und Traumatologie vom 13. Januar 2004 über eine an diesem Tag erfolgte Konsultation. Darin werde die Arbeitsunfähigkeit schematisch auf 65 % seit 10. Oktober 2001 veranschlagt, wobei die Arbeit nur sitzend möglich sei. Dieser Bericht sei ungenügend, zumal eine Beschreibung der Befunde vollständig fehle (act. 16, S. 3). -Gestützt auf die Prüfung von zwei weiteren ärztlichen Berichten führte Dr. med. M._______ in seiner Stellungnahme vom 8. Juli 2005 ergänzend aus, dem Versicherten sei eine Arbeit im Sitzen sehr wohl möglich, und zwar mit geringeren Einschränkungen als dies früher angegeben worden sei. Für die Zeit vom 10. Oktober 2001 bis ca. 10. Februar 2002 und vom 17. August bis 31. Dezember 2002 bescheinigte Dr. med. M._______ dem Beschwerdeführer eine 100%ige Arbeitsunfähigkeit für seine bisherige wie auch für eine angepasste Verweistätigkeit. Ab 1. Januar 2003 könne dem Versicherten für eine angepasste Verweistätigkeit, insbesondere eine Arbeit im Sitzen (zum Beispiel als Museumswärter oder Portier), eine Arbeitsunfähigkeit von 30 % attestiert werden (act. 16, S. 1 f.). -In einer weiteren Stellungnahme vom 10. November 2006 führte Dr. med. M._______ aus, das ärztliche Zeugnis vom 30. September 2005 aus dem «Centre médical Pristina» wiederhole lediglich die bekannten Diagnosen und enthalte keine neuen medizinischen Angaben. Es bestünden nach wie vor keine Anhaltspunkte für die Annahme, dass die angenommenen Verweistätigkeiten nicht zumutbar wären (act. 27). -Gestützt auf eine erneute Prüfung neu eingereichter Arztberichte hielt Dr. med. M._______ mit Bericht vom 4. März 2007 fest, auf die in den neu eingereichten Akten wiedergegebenen Diagnosen könne nicht abgestellt werden, da diese nicht nach Massgabe der anerkannten internationalen Standards begründet seien. Er halte demnach auch nach Prüfung der nachträglich eingereichten Berichte an seiner bisherigen Beurteilung fest. Von weiteren Abklärungen seien keine wesentlichen neuen Erkenntnisse zu erwarten (act. 34). -Der Neuropsychiater Dr. med. F._______ diagnostizierte in seinem Bericht vom 7. Dezember 2009 eine schwere depressive Episode (ICD-10 F 32.2). Ferner fügt er hinzu, der Beschwerdeführer beklage sich über Kopfschmerzen, Schlaflosigkeit, Angst, Willensverlust, andauernde Schmerzen in den Beinen sowie über Gehschwierigkeiten. Derzeit werde der Patient aufgrund seiner multiplen psychischen Beschwerden mit erheblicher Verschlechterung der psychischen Funktionen behandelt. Es erfolgten regelmässige psychiatrische Konsultationen und der Patient werde auch medikamentös und psychotherapeutisch behandelt (act. 63). -Nach Prüfung der vorliegenden medizinischen Akten kam Dr. med. N._______, Facharzt für Psychiatrie und Psychotherapie FMH und zertifizierter Gutachter SIM, RAD Rhône, in seiner Stellungnahme vom 9. November 2012 zum Schluss, dass die psychiatrischen Dokumente - mit Blick auf ihre Ungenauigkeit und die bestehenden Widersprüche - nicht genügten, um verlässliche Angaben zur Leistungsfähigkeit des Beschwerdeführers in den Jahren 2003 bis 2006 zu machen (act. 96, S. 2 - 4). -Dr. med. H._______ hielt in seiner Stellungnahme vom 13. November 2012 im Wesentlichen fest, dass die vorliegenden Befund- und Arztberichte unvollständig und teilweise widersprüchlich ausgefallen seien, weshalb er eine psychiatrische und orthopädische Begutachtung des Beschwerdeführers in der Schweiz als notwendig einstufe (act. 196, S. 5 - 8). -Gestützt auf eine persönliche Untersuchung des Beschwerdeführers vom 29. Mai 2013 hielt Dr. med. O._______, Facharzt für Innere Medizin FMH, in seinem internistischen MEDAS-Teilgutachten insbesondere fest, es bestehe aus internistischer Sicht keine Diagnose mit Auswirkung auf die Arbeitsfähigkeit. Der Hauptbefund sei zweifelsohne der rechte Unterschenkel mit einer Deformität des rechten Fusses, einhergehend mit einer Muskelatrophie und Sensibilitätsstörungen. In der Zeit eingeschränkter Bewegungsfähigkeit habe der Beschwerdeführer offenbar deutlich an Gewicht zugelegt (BMI 31.1), und es habe sich ein erhöhter Blutdruck eingestellt. Weitere internistische Diagnosen seien nicht zu stellen. Der Beschwerdeführer sei deshalb vollschichtig mit einem Zeitpensum von 8.5 Stunden arbeitsfähig (act. 125, S. 30 - 33). -Dr. med. O._______, Facharzt für Psychiatrie und Psychotherapie FMH sowie zertifizierter medizinischer Gutachter SIM, konnte gestützt auf seine Untersuchung vom 29. Mai 2013, welche mit einer umfassenden Befunderhebung einherging, keine psychiatrische Diagnose mit Auswirkung auf die Arbeitsfähigkeit stellen. Ferner führte aus, beim Beschwerdeführer bestehe - mit Blick auf die desolate wirtschaftliche, finanzielle Situation - eine vorwiegend psychosoziale Problemsituation. Es sei deshalb verständlich, dass er hierauf zeitweise mit trauriger Stimmung, Nachdenklichkeit und Zukunftsängsten reagiere. Der Beschwerdeführer gebe an, sich in psychiatrischer Behandlung zu befinden. Allerdings berichte er, dass er die früher eingenommenen Medikamente vor ca. 14 Tagen auf Anraten seines Psychiaters abgesetzt habe. Die hierfür angegebenen Gründe seien indes nicht sehr einleuchtend. Insbesondere sei nicht überzeugend, weshalb ausgerechnet vor 14 Tagen die Medikamente wegen Herzbeschwerden hätten abgesetzt werden müssen, zumal über keine eindeutige Verschlechterung der somatischen Problematik, speziell der Herzbeschwerden, berichtet worden sei. Somit bleibe es offen, ob der Beschwerdeführer in der Vergangenheit überhaupt Medikamente und in welcher Dosierung eingenommen habe (act. 125, S. 24 - 30). -Im Rahmen einer orthopädischen Teilbegutachtung führte Dr. med. P._______, Facharzt für Orthopädische Chirurgie und Traumatologie des Bewegungsapparates, als Diagnosen mit Auswirkung auf die Arbeitsfähigkeit (Hilfsarbeitertätigkeit) die chronische Osteomyelitis am rechten Unterschenkel nach offener Trümmerfraktur an. Gestützt auf eine persönliche Untersuchung des Beschwerdeführers vom 30. Mai 2013 befundete er eine freie Beweglichkeit der Wirbelsäule. Ferner sei auch die paravertebrale Muskulatur der Wirbelsäule nicht verspannt, und es bestehe keine bedeutsame Wirbelsäulenfehlstatik. Zudem bestünden eine 0°-Beinachse (beidseits) und ein Varusfehler am rechten Unterschenkel sowie trophische Hautstörungen, narbige Indurationen und Weichteileinziehungen an den Unterschenkeln. Sodann bestehe an den Handinnenseiten eine deutliche Beschwielung. Zusammenfassend sei festzustellen, dass die vom Beschwerdeführer angegebenen Ganzkörperschmerzen objektiv nicht nachvollzogen werden könnten. Nachvollziehbar seien demgegenüber belastungsabhängig zunehmende Schmerzen an den Unterschenkeln, Sprunggelenken und Füssen, welche durch das Unfalltrauma mit einem verbliebenen erheblichen Achsenfehler am rechten Unterschenkel und Weichteildefekten an beiden Unterschenkeln verursacht seien. Es fänden sich auch keine Hinweise auf eine rheumatische Systemerkrankung oder eine Fibromyalgie. Für die Arbeitsfähigkeit des Beschwerdeführers bedeute dies, dass ausschliesslich im Stehen und Gehen zu verrichtende Tätigkeiten nicht mehr erbracht werden sollten. Demgegenüber seien Tätigkeiten im Wechselrhythmus zwischen Stehen, Gehen und Sitzen für ihn aus orthopädischer Sicht vollumfänglich möglich, wobei ein Hebe- und Tragelimit nicht definiert werden müsse und auch Bücken und Überkopftätigkeiten erfolgen könnten (act. 125, S. 34 - 41). -Dr. med. Q._______, Facharzt für Neurologie FMH und zertifizierter medizinischer Gutachter SIM, kam gestützt auf eine ausführliche neurologische Befunderhebung zum Schluss, dass der Beschwerdeführer im Rahmen seines Unfallereignisses vom 10. Oktober 2001 nur ein leichtes Schädel-Hirn-Trauma erlitten habe, wobei laut Anamnese nur eine kurze Erinnerungslücke bestanden habe. Im Weiteren würden sich keine Hinweise für zentral-neurologische respektive klinisch neuropsychologische Störungen finden. Die Beschreibung der Kopfschmerzen sei unspezifisch und am ehesten wohl als Spannungskopfschmerz zu interpretieren. Hinsichtlich des Beinleidens sei aus neurologischer Sicht festzustellen, dass hier erhebliche Defekte und Haut-/Muskelatrophie-Erscheinungen an beiden Unterschenkeln (rechts mehr als links) vorhanden seien. Eine Einschränkung der Zehenbeweglichkeit gehe zulasten der schweren, ehemaligen Muskelverletzung. Hingegen bestünden keine Hinweise für eine peripher-neurogene Schädigung respektive eine Schädigung des Nervus peroneus oder des Nervus tibialis. Aufgrund der Unterschenkelverletzungen, welche im orthopädischen Gutachten zu spezifizieren seien, erscheine das Gehen funktional betrachtet beeinträchtigt. Eine gewisse kompensatorische Überbelastung des linken Beines erscheine möglich. Allerdings sei bei einer überwiegend sitzenden Tätigkeit keine wesentliche Beeinträchtigung erkennbar. Aus neurologischer Sicht erscheine die angestammte Tätigkeit als Maschineneinrichter als eine überwiegend stehende Tätigkeit nur noch teilweise zumutbar; die konkrete Bewertung werde im orthopädischen Teilgutachten vorgenommen. Eine angepasste Verweistätigkeit sei aus neurologischer Sicht, jedenfalls nach Abschluss der akuten Behandlungsphase der Beinverletzung, zumutbar. Zumutbar seien insbesondere Tätigkeiten, welche das rechte Bein nicht übermässig belasten würden, das heisst wechselbelastende oder häufiger sitzende Tätigkeiten bei ausgeglichenen klimatischen Bedingungen (act. 125 S. 10 - 16). -In der interdisziplinären Konsensbeurteilung vom 18. November 2013 hielten die Fachärzte als Diagnose mit Relevanz auf die Arbeitsfähigkeit ausschliesslich eine chronische Osteomyelitis am rechten Unterschenkel nach offener Trümmerfraktur (10.10.2001), ausgeheilt mit Varusfehler am rechten Unterschenkel und ausgedehntem Weichteildefekt am rechten Unterschenkel mit trophischen Hautstörungen, narbigen Indurationen und Einziehungen am mittleren und distalen Drittel des Unterschenkels, fest. Mit Blick auf das Zumutbarkeitsprofil einer Verweistätigkeit führten sie aus, dem Beschwerdeführer seien sämtliche Tätigkeiten im Wechselrhythmus zwischen Stehen, Gehen und Sitzen zumutbar, wobei ein Hebe- und Tragelimit nicht definiert werden müsse und auch Bücken und Überkopftätigkeiten erfolgen dürften. Ausgeschlossen seien lediglich Tätigkeiten mit andauerndem Stehen und Gehen. Es bestünden ausschliesslich auf orthopädischen Fachgebiet Beeinträchtigungen infolge der komplexen Beinverletzung rechts, wobei eine reduzierte Belastbarkeit des rechten Beines bestehe. Aus psychiatrischer Sicht könnten keine versicherungsmässig relevanten Diagnosen objektiviert werden. Die komplexe Beinverletzung mit Osteomyelitis habe zu wiederholten Krankenhausaufenthalten geführt; eine exakte Quantifizierung der Arbeitsfähigkeit sei aufgrund der dürftigen Aktenlage nicht mit dem notwendigen Beweisgrad der überwiegenden Wahrscheinlichkeit möglich. Spätestens ab dem 13. Januar 2004 sei jedoch für die angestammte Tätigkeit eine Arbeitsfähigkeit von 50 % und für eine angepasste Verweistätigkeit eine solche von 100 % als überwiegend wahrscheinlich anzunehmen. Aus interdisziplinärer Sicht gehen die Experten zusammenfassend davon aus, dass eine angepasste Tätigkeit ab 13. Januar 2004 in vollem Umfang zumutbar gewesen wäre und auch derzeit zumutbar sei. Dabei bestünden keine Einschränkungen hinsichtlich der Leistungsfähigkeit und der zumutbaren Arbeitspräsenz. Schliesslich liege auch keine somatoforme Schmerzstörung vor (act. 125, S. 20 - 23). -RAD-Arzt Dr. med. H._______ hielt mit Schlussbericht vom 20. Dezember 2013 fest, dass lediglich die chronische Osteomyelitis am rechten Unterschenkel (ICD-10: M 86.4) als Gesundheitsbeeinträchtigung mit Einfluss auf die Arbeitsfähigkeit zu werten sei. Im Einklang mit den begutachtenden Experten könne ab dem 13. Januar 2004 eine volle Leistungsfähigkeit für eine angepasste Tätigkeit angenommen werden. Aus psychiatrischer Sicht bestehe keine Arbeitsunfähigkeit. Die angeführte depressive Episode könne nicht als dauerhafte chronische mittelgradige oder gar schwere Depression eingestuft werden (act. 127, S. 1 - 5). - Aus psychiatrischer Sicht hielt Dr. med. L._______ in seiner Stellungnahme vom 17. Dezember 2014 namentlich fest, der MEDAS-Gutachter, Dr. med. O._______, habe im Zeitpunkt der Begutachtung keine versicherungsmedizinisch relevante psychiatrische Störung feststellen können. Über den psychischen Gesundheitszustand des Versicherten vor zehn Jahren habe der psychiatrische Gutachter naturgemäss keine genauen Angaben machen können. Gestützt auf eine Prüfung der vorliegenden Akten kam er zum Schluss, dass weder aus dem MEDAS-Gutachten noch aus den davor und danach erstellten Arztberichten verlässliche Schlussfolgerungen in Bezug auf den Gesundheitszustand und die Leistungsfähigkeit in der Zeit von 2003 bis 2006 gezogen werden könnten (act. 151). - Nach Prüfung der vom Beschwerdeführer im Zuge des vorinstanzlichen Verfahrens nachgereichten Befund- und Arztberichte (vgl. act. 154 - 163 sowie act. 165 - 175) hielt Dr. med. L._______ insbesondere fest, dass diese allesamt vollkommen ungenügend und wissenschaftlich nicht haltbar seien, zumal die gestellten Diagnosen nicht den nach der ICD-10-Klassifikation erforderlichen Konkretisierungsgrad aufwiesen und zudem auch nicht durch entsprechende konkrete Befunde gestützt würden; mangels nachvollziehbarer Befunderhebung und konkretisierter Diagnosestellung (entsprechend den Vorgaben der ICD-10) seien die zur Verfügung gestellten psychiatrischen Arztzeugnisse vollkommen unbrauchbar und teilweise widersprüchlich. Der behandelnde Psychiater Dr. med. K._______ sei - trotz wiederholter Anfrage - nicht in der Lage gewesen, für die Jahre 2003 - 2006 verlässliche Befunde zu erheben und nachvollziehbare Diagnosen nach Massgabe der Vorgaben der ICD-10-Klassifikation zu stellen (act. 177, S. 1 - 5).</w:t>
      </w:r>
    </w:p>
    <w:p>
      <w:r>
        <w:rPr>
          <w:b/>
        </w:rPr>
        <w:t>E. 5.2</w:t>
      </w:r>
    </w:p>
    <w:p>
      <w:r>
        <w:t>Das von der Vorinstanz im Verfahren nach Art. 44 ATSG eingeholte interdisziplinäre MEDAS-Gutachten basiert auf einer ausführlichen Analyse der medizinischen Vorakten (vgl. 125, S. 5 - 9) und auf für die strittigen Belange umfassenden fachärztlichen Untersuchungen mit sorgfältig erhobenen und detailliert begründeten diagnoserelevanten Befunden (act. 125, S. 10 ff., S. 24 ff., S. 30 ff. und S. 34 ff.). Es berücksichtigt zudem die vom Beschwerdeführer geklagten Beschwerden. Die Teilgutachten leuchten in der Darlegung der medizinischen Zusammenhänge ein, und die gezogenen Schlussfolgerungen in Bezug auf Gesundheitszustand und Arbeitsfähigkeit werden für die rechtsanwendende Person nachvollziehbar begründet. Im Rahmen der interdisziplinären Konsensbeurteilung werden die in den jeweiligen Fachgebieten gewonnenen Erkenntnisse prägnant zusammengefasst sowie sorgfältig und nachvollziehbar dargelegt. Schliesslich fällt auch die zusammenfassende Beurteilung der Diagnosen und der Leistungsfähigkeit überzeugend aus (vgl. act. 125 S. 16 - 23). Das MEDAS-Gutachten erweist sich schlüssig und überzeugend. Es erfüllt die rechtsprechungsgemässen Anforderungen an ein beweiskräftiges Gutachten in jeder Hinsicht, so dass darauf abzustellen ist.</w:t>
      </w:r>
    </w:p>
    <w:p>
      <w:r>
        <w:rPr>
          <w:b/>
        </w:rPr>
        <w:t>E. 5.3</w:t>
      </w:r>
    </w:p>
    <w:p>
      <w:r>
        <w:t>Was der Beschwerdeführer gegen die Verwertbarkeit des MEDAS-Gutachten vorbringt, vermag dessen Überzeugungskraft nicht infrage zu stellen.</w:t>
      </w:r>
    </w:p>
    <w:p>
      <w:r>
        <w:rPr>
          <w:b/>
        </w:rPr>
        <w:t>E. 5.3.1</w:t>
      </w:r>
    </w:p>
    <w:p>
      <w:r>
        <w:t>Insbesondere fällt auf, dass sich der Beschwerdeführer inhaltlich nicht mit den ausführlich begründeten Schlussfolgerungen der MEDAS-Gutachter und der RAD-Ärzte auseinander setzt. Vielmehr beschränkt er sich auf die Behauptung, dass die Arztberichte aus dem Kosovo angeblich über einen hinreichenden Beweiswert verfügten (BVGer act. 1, Ziff. 4). Allerdings übersieht er dabei, dass es sich - wie Dr. med. L._______ in seiner Stellungnahme vom 28. August 2015 (act. 177, S. 1 - 5) zu Recht erkannt hat - durchwegs um wissenschaftlich nicht hinreichend fundierte, ungenügend substanziierte und teilweise widersprüchliche Arztberichte handelt. So lässt sich beispielsweise dem vom Beschwerdeführer zitierten Arztbericht von Dr. med. F._______ vom 7. Dezember 2009 (act. 63, S. 1 f.) nichts zur Ausprägung der diagnoserelevanten Befunde entnehmen. Ferner fehlt auch eine detaillierte Umschreibung des Zumutbarkeitsprofils gänzlich. Gleiches gilt namentlich auch für die Berichte von Dr. med. K._______ vom 9. Juli 2014 (act. 147 S. 1 f.) und vom 23. Januar 2015 (act. 156, S. 1 f.).</w:t>
      </w:r>
    </w:p>
    <w:p>
      <w:r>
        <w:rPr>
          <w:b/>
        </w:rPr>
        <w:t>E. 5.3.2</w:t>
      </w:r>
    </w:p>
    <w:p>
      <w:r>
        <w:t>Schliesslich vermögen auch die vom Beschwerdeführer im Jahr 2015 eingereichten zahlreichen Kurzberichte (act. 154 - 163; act. 165 - 175) keine neuen wesentlichen Erkenntnisse zu liefern, zumal darin durchwegs stichwortartige Bemerkungen, welche sich im Wesentlichen in einer kurzen Auflistung von Befunden, Diagnosen oder Medikamenten erschöpfen, aufgelistet werden, ohne dass diese Erkenntnisse nachvollziehbar und hinreichend substanziiert begründet würden.</w:t>
      </w:r>
    </w:p>
    <w:p>
      <w:r>
        <w:rPr>
          <w:b/>
        </w:rPr>
        <w:t>E. 5.3.3</w:t>
      </w:r>
    </w:p>
    <w:p>
      <w:r>
        <w:t>Aus dem vorstehend Dargelegten folgt, dass MEDAS-Gutachten den rechtsprechungsgemässen Anforderungen (vgl. E. 4.8.2 hievor) gerecht wird und damit beweiskräftig ist.</w:t>
      </w:r>
    </w:p>
    <w:p>
      <w:r>
        <w:rPr>
          <w:b/>
        </w:rPr>
        <w:t>E. 5.4</w:t>
      </w:r>
    </w:p>
    <w:p>
      <w:r>
        <w:t>Von weiteren Beweisabnahmen, insbesondere einer erneuten Befragung des behandelnden Psychiaters oder einer erneuten Begutachtung in der Schweiz, kann deshalb abgesehen werden, weil von solchen für den hier massgeblichen Zeitraum keine neuen wesentlichen Erkenntnisse zu erwarten sind (antizipierte Beweiswürdigung; vgl. BGE 137 V 64 E. 4b). Nach der bundesgerichtlichen Rechtsprechung genügt eine abweichende Beurteilung, selbst wenn sie von einem Facharzt oder einer Fachärztin stammt, allein nicht, um den Beweiswert eines medizinischen Gutachtens zu mindern und allenfalls Anlass zu ergänzenden Abklärungen zu geben (Urteil des BGer 9C_688/2016 vom 16. Februar 2017 E. 3.4).</w:t>
      </w:r>
    </w:p>
    <w:p>
      <w:r>
        <w:rPr>
          <w:b/>
        </w:rPr>
        <w:t>E. 6</w:t>
      </w:r>
    </w:p>
    <w:p>
      <w:r>
        <w:t>Wie nachfolgend darzulegen ist, hat der Beschwerdeführer mit Blick auf diese Leistungsfähigkeitsbeurteilung keinen Anspruch auf eine (Teil-)Rente gemäss IVG.</w:t>
      </w:r>
    </w:p>
    <w:p>
      <w:r>
        <w:rPr>
          <w:b/>
        </w:rPr>
        <w:t>E. 6.1</w:t>
      </w:r>
    </w:p>
    <w:p>
      <w:r>
        <w:t>Stellt man im Rahmen des Einkommensvergleichs (vgl. dazu Art. 16 ATSG) in örtlicher Hinsicht auf die Verhältnisse in der Schweiz und in zeitlicher Hinsicht auf das Jahr 2004, den Zeitpunkt der Rentenaufhebung, ab, so ergibt sich auf der Grundlage des vor dem Unfalljahr (2000) erzielten Einkommens von Fr. 60'417.- für 1999 (Beilage 1 zu BVGer act. 1, S. 6), unter Berücksichtigung der Lohnentwicklung bis zum Jahr 2004, ein aufindexiertes Valideneinkommen von Fr. 65'069.- (Fr. 60'417.- : 105.2 x 113.3; vgl. dazu Homepage des Bundesamtes für Statistik http//:www.bfs.admin.ch Statistiken finden Löhne, Erwerbseinkommen und Arbeitskosten Lohnentwicklung Schweizer Lohnindex auf der Basis 1993, abgerufen am 28.08.2017).</w:t>
      </w:r>
    </w:p>
    <w:p>
      <w:r>
        <w:rPr>
          <w:b/>
        </w:rPr>
        <w:t>E. 6.2</w:t>
      </w:r>
    </w:p>
    <w:p>
      <w:r>
        <w:t>In Bezug auf das Invalideneinkommen kann bereits deshalb nicht auf das tatsächlich erzielte Einkommen abgestellt werden, weil die Einkommen unter Berücksichtigung gleicher örtlicher Verhältnisse zu ermitteln sind (vgl. etwa Urteil des BGer I 822/06 vom 6. November 2007; Ueli Kieser, § 3 Ausländische Personen und soziale Sicherheit, in: Handbücher für die Anwaltspraxis, Bd. VIII, Ausländerrecht, 2. Aufl. 2009, S. 115). Ferner übt der Beschwerdeführer auch seit längerer Zeit keine Erwerbstätigkeit mehr aus. Ausgehend von der LSE 2004 (Totalwert TA 1, Anforderungsniveau 4: Fr. 4'588.-) resultiert - umgerechnet auf eine betriebsübliche wöchentliche Arbeitszeit von 41.7 h - ein Invalideneinkommen von Fr. 57'396.- (= Fr. 4'588.- x 12 : 40 x 41.7). Die Frage, ob und gegebenenfalls in welchem Umfang dem Beschwerdeführer ein leidensbedingter Abzug (vgl. dazu BGE 135 V 297 E. 5.2 S. 301; 126 V 75 E. 5b/bb-cc S. 80; vgl. auch Urteil des BGer 8C_114/2017 vom 11. Juli 2017 E. 3.1 i.f. mit Hinweis) gewährt werden kann, braucht vorliegend nicht entschieden zu werden. Denn selbst wenn man zugunsten des Beschwerdeführers rein hypothetisch von einem maximalen leidensbedingten Abzug von 25 % ausgehen wollte, ergäbe sich ein Invalideneinkommen von (immerhin noch) Fr. 43'047.- (Fr. 57'396.- x 0.75) und damit ein Invaliditätsgrad von lediglich 33 % (= [Fr. 65'069.- ./. Fr. 43'047.-] : Fr. 65'069.-), welcher unter dem gesetzlichen Mindestinvaliditätsgrad von 50 % - welcher für den Beschwerdeführer mit ausländischem Wohnsitz mangels staatsvertraglicher Regelung für einen Teilrentenanspruch erforderlich wäre (Art. 29 Abs. 4 IVG; vgl. E. 4.6 hievor) - liegt. Daraus folgt, dass die Vorinstanz den Rentenanspruch ab dem 1. Mai 2004 zu Recht verneint hat.</w:t>
      </w:r>
    </w:p>
    <w:p>
      <w:r>
        <w:rPr>
          <w:b/>
        </w:rPr>
        <w:t>E. 7.1</w:t>
      </w:r>
    </w:p>
    <w:p>
      <w:r>
        <w:t>Zusammengefasst steht fest, dass das von der Vorinstanz veranlasste polydisziplinäre MEDAS-Gutachten die rechtsprechungsgemässen Anforderungen an eine beweiskräftige Expertise erfüllt. In Übereinstimmung mit der Schlussfolgerung der Gutachter ist dementsprechend davon auszugehen, dass dem Beschwerdeführer spätestens ab dem 13. Januar 2004 eine volle Leistungsfähigkeit für eine angepasste Tätigkeit möglich und zumutbar ist. Die vom Beschwerdeführer eingereichten Befund- und Arztberichte vermögen keine Zweifel an den überzeugenden Schlussfolgerungen zu begründen. Von weiteren Beweisabnahmen sind keine neuen wesentlichen Erkenntnisse zu erwarten.</w:t>
      </w:r>
    </w:p>
    <w:p>
      <w:r>
        <w:rPr>
          <w:b/>
        </w:rPr>
        <w:t>E. 7.2</w:t>
      </w:r>
    </w:p>
    <w:p>
      <w:r>
        <w:t>Daraus folgt, dass die Beschwerde, soweit darauf eingetreten werden kann, abzuweisen und die angefochtene Verfügung vom 15. Februar 2016 zu bestätigen ist.</w:t>
      </w:r>
    </w:p>
    <w:p>
      <w:r>
        <w:rPr>
          <w:b/>
        </w:rPr>
        <w:t>E. 8</w:t>
      </w:r>
    </w:p>
    <w:p>
      <w:r>
        <w:t>Zu befinden bleibt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Mit Zwischenverfügung vom 2. Dezember 2016 wurde indes das Gesuch um unentgeltliche Prozessführung gutgeheissen (BVGer act. 18); entsprechend sind keine Verfahrenskosten zu erheben.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und das Gesuch um unentgeltliche Verbeiständung wurde mit Zwischenverfügung vom 2. Dezember 2016 abgewiesen mit der Begründung, die Vertreterin des Beschwerdeführers sei nicht im Anwaltsregister eingetragen (BVGer act. 18).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