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C-2235/2009 vom 14. März 2011</w:t>
      </w:r>
    </w:p>
    <w:p>
      <w:r>
        <w:t>Bundesverwaltungsgericht, 2011-03-14, DE</w:t>
      </w:r>
    </w:p>
    <w:p>
      <w:r>
        <w:rPr>
          <w:b/>
        </w:rPr>
        <w:t xml:space="preserve">Quelle: </w:t>
      </w:r>
      <w:r>
        <w:t>https://mcp.opencaselaw.ch/entscheid/bvger_C-2235_2009</w:t>
      </w:r>
    </w:p>
    <w:p>
      <w:r>
        <w:t>FR: TAF C-2235/2009 du 14 mars 2011</w:t>
      </w:r>
    </w:p>
    <w:p>
      <w:r>
        <w:t>IT: TAF C-2235/2009 del 14 marzo 2011</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Die Beschwerde wurde frist- und formgerecht eingereicht (vgl. Art. 60 ATSG und Art. 52 Abs. 1 VwVG). Als Adressatin der angefochtenen Verfügung vom 26. Februar 2009 ist die Beschwerdeführerin berührt und hat ein schutzwürdiges Interesse an deren Aufhebung oder Änderung (vgl. Art. 59 ATSG). Nachdem auch der Kostenvorschuss fristgerecht geleistet wurde, ergibt sich zusammenfassend, dass sämtliche Prozessvoraussetzungen erfüllt sind. Auf die Beschwerde ist deshalb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26. Februar 2009 (act. 54), mit welcher das Leistungsbegehren der Be­schwerdeführerin auf eine IV-Rente abgewiesen wurde. Streitig und zu prüfen ist der Rentenanspruch der Beschwerdeführerin und in diesem Zusammenhang insbesondere, ob der Sachverhalt in medizinischer Hinsicht rechtsgenüglich abgeklärt und gewürdigt worden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Die Beschwerdeführerin besitzt die österreichische Staatsbürgerschaft und wohnt in Österreich,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auch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26. Februar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2.6</w:t>
      </w:r>
    </w:p>
    <w:p>
      <w:r>
        <w:t>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(Abs. 2).</w:t>
      </w:r>
    </w:p>
    <w:p>
      <w:r>
        <w:rPr>
          <w:b/>
        </w:rPr>
        <w:t>E. 2.7</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343 E. 3.5.3) sowie dann, wenn die versicherte Person nach vorausgegangener rechtskräftiger Ablehnung erneut eine Eingliederungsmassnahme beantragt (BGE 113 V 22 E. 3b;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125 V 410 E. 2b, 117 V 198 E. 4b).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Ob eine anspruchsbegründende Änderung in den für den Invaliditätsgrad erheblichen Tatsachen eingetreten ist, beurteilt sich im Neuanmeldungsverfahren - analog zur Rentenrevision nach aArt. 41 IVG (heute: Art. 17 Abs. 1 ATSG; BGE 105 V 29) - durch Vergleich des Sachverhaltes, wie er im Zeitpunkt der ersten Ablehnungsverfügung bestanden hat, mit demjenigen zur Zeit der streitigen neuen Verfügung (BGE 130 V 71 E. 3.1 mit Hinweisen; AHI 1999 S. 84 E. 1b). Dies gilt jedoch nur in Fällen wie dem vorliegendem, in dem seit der ersten Verfügung vom 1. Mai 1997 keine materielle Prüfung des Rentenanspruchs mehr stattgefunden hat (für andere Fälle vgl. BGE 130 V 71 E. 3.2.3).</w:t>
      </w:r>
    </w:p>
    <w:p>
      <w:r>
        <w:rPr>
          <w:b/>
        </w:rPr>
        <w:t>E. 2.8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Wie bereits dargelegt (vgl. E. 2.7. hiervor), beurteilt sich die Frage, ob bei der Beschwerdeführerin eine wesentliche Änderung eingetreten ist, welche geeignet ist, den IV-Grad und damit den Rentenanspruch im Sinne von Art. 17 ATSG zu beeinflussen, durch Vergleich des Sachverhaltes, wie er zur Zeit der unangefochten in Rechtskraft erwachsenen Verfügung vom 1. Mai 1997 (act. 15; vgl. auch Bst. B. hiervor) bestanden hatte, mit demjenigen, wie er im Zeitpunkt der vorliegend angefochtenen Verfügung vom 26. Februar 2009 (act. 54) eingetreten war.</w:t>
      </w:r>
    </w:p>
    <w:p>
      <w:r>
        <w:rPr>
          <w:b/>
        </w:rPr>
        <w:t>E. 3.1</w:t>
      </w:r>
    </w:p>
    <w:p>
      <w:r>
        <w:t>Im Rahmen der Verfügung vom 1. Mai 1997, mit welcher der Rentenanspruch der Versicherten rechtskräftig verneint worden war, stützte sich die Vorinstanz in medizinischer Hinsicht insbesondere auf die Gutachten der Dres. med. G._______, Facharzt für Neurologie und Psychiatrie, und H._______, Facharzt für Innere Medizin, vom 2. Juli und 2. August 1996 (act. 4 und 5). Dr. med. G._______ führte aus, infolge einer länger dauernden beruflichen Überlastung und schwerer familiärer Verluste habe bei der Versicherten ein psychovegetatives Erschöpfungssyndrom vorgelegen. In der Zwischenzeit habe sich dieses durch die Psychotherapie erheblich gebessert. Mit einer weiteren Erholung könne gerechnet werden. Dr. med. G._______ attestierte der Versicherten eine volle Arbeits- und Leistungsfähigkeit. Dr. med. H._______ verwies im Rahmen der Diagnosestellung auf das neurologische Gutachten und erwähnte weiter, die interne Untersuchung habe einen altersentsprechend normalen Befund ergeben und die Herzkreislaufverhältnisse seien ausgeglichen. Die Versicherte befinde sich in einem guten Allgemein- und Ernährungszustand und von interner Seite könne sie leichte und mittelschwere Tätigkeiten vollschichtig ausüben.</w:t>
      </w:r>
    </w:p>
    <w:p>
      <w:r>
        <w:rPr>
          <w:b/>
        </w:rPr>
        <w:t>E. 3.2</w:t>
      </w:r>
    </w:p>
    <w:p>
      <w:r>
        <w:t>Im Zusammenhang mit der erneuten Anmeldung vom 6. Mai 2008 (vgl. Bst. C. hiervor) sind die - bis zum massgeblichen Zeitpunkt des Erlasses der angefochtenen Verfügung (26. Februar 2009) vorliegenden - medizinischen Gutachten und Berichte zusammengefasst wiederzugeben und einer Würdigung zu unterziehen.</w:t>
      </w:r>
    </w:p>
    <w:p>
      <w:r>
        <w:rPr>
          <w:b/>
        </w:rPr>
        <w:t>E. 3.2.1</w:t>
      </w:r>
    </w:p>
    <w:p>
      <w:r>
        <w:t>Dr. med. C._______, Fachärztin für Neurologie und Psychiatrie, erwähnte in ihrem Gutachten vom 22. Juni 2008 als gesundheitliche Beeinträchtigungen eine ängstlich agitierte Depression mit Somatisierungstendenz (ICD-10: F32.1) bei chronischer Überlastungsreaktion seit Jahren sowie einen Zustand nach Alkoholabusus (ICD-10: F10.8). Weiter führte sie aus, die Ausdauer und die Belastbarkeit seien etwas reduziert. Geregelte Tätigkeiten seien der Versicherten gemäss Leistungskalkül zumutbar (act. 38). Dr. med. D._______, Facharzt für Allgemeinmedizin, vom medizinischen Dienst der Vorinstanz hielt in seiner Stellungnahme vom 9. November 2008 dafür, dass im Gutachten von Dr. med. C._______ trotz der chronischen depressiven Symptomatik eine volle Arbeitsfähigkeit als zumutbar erachtet werde. Die Versicherte bringe die Depression mit der subjektiven Überlastung am Arbeitsplatz in Zusammenhang. Diese reaktive psychische Problematik sei durch Anpassungen am Arbeitsplatz besserungsfähig; somit bestehe kein invalidisierendes Leiden (act. 47). Dr. med. F._______, Fachärztin für Psychiatrie und Neurologie und Ärztin für Psychotherapeutische Medizin, erwähnte in ihrem Gutachten vom 16. Dezember 2008 als psychiatrische Diagnose eine Erschöpfungsdepression (ICD-10: F32.9) und führte im Zusammenhang mit dem von ihr erstellten Leistungskalkül aus, zumutbar seien leichte körperliche Arbeiten ganztägig, mittelschwere halbzeitig, mit einem der bisherigen Berufslaufbahn der Versicherten entsprechenden geistigen Anforderungsprofil, zu den üblichen Arbeitszeiten, ohne zusätzliche Pausen. Ausgeschlossen seien Arbeiten unter dauernd besonderem Zeitdruck sowie Nacht- und Schichtarbeit (Beilage 1 zu B-act. 1). Dr. med. E._______, behandelnde Fachärztin für Psychiatrie und Neurologie, diagnostizierte in ihrem Bericht vom 15. Januar 2009 eine schwere depressive Episode ohne psychotische Symptome (ICD-10: F32.2), eine Gastritis (ICD-10: K29.7), eine Panikstörung (ICD-10: F41.0) sowie eine Hypotonie (ICD-10: I95.-) und führte weiter aus, die Belastbarkeit der Versicherten sei nach wie vor deutlich reduziert (emotionale Instabilität, reduzierte bis fehlende Anpassungsfähigkeit an institutionelle oder kollegiale Erfordernisse). Es liege keine Arbeitsfähigkeit vor; eine solche in einem dem alten Berufsfeld entsprechenden Beruf sei zukünftig ausschliessbar (act. 50). In Würdigung des Berichts von Dr. med. E._______ vom 15. Januar 2009 führte Dr. med. D._______ am 21. Februar 2009 aus, letztere mache keine weiteren genauen Angaben über die Symptomatik und Schwere der diagnostizierten psychotischen Symptome und der Panikstörung. Hinsichtlich der Beurteilung der Arbeitsfähigkeit sei das unabhängige Gutachten von Dr. med. C._______ weiterhin massgebend (act. 53).</w:t>
      </w:r>
    </w:p>
    <w:p>
      <w:r>
        <w:rPr>
          <w:b/>
        </w:rPr>
        <w:t>E. 3.2.2</w:t>
      </w:r>
    </w:p>
    <w:p>
      <w:r>
        <w:t>Die Gutachten der Dres. med. C._______ und F._______ erfüllen die an den vollen Beweiswert eines ärztlichen Gutachtens gestellten Kriterien. Insbesondere sind sie für die streitigen Belange umfassend, beruhen auf allseitigen Untersuchungen, berücksichtigen die geklagten Beschwerden und wurden in Kenntnis der wichtigsten Vorakten (Anamnese) abgegeben. Sie sind zudem in der Darlegung der medizinischen Zusammenhänge und in der Beurteilung der medizinischen Situation einleuchtend und in den Schlussfolgerungen begründet, so dass darauf abgestellt werden kann. Demnach lässt sich der gesundheitliche Zustand der Beschwerdeführerin und dessen Auswirkungen auf die Arbeits- und Leistungsfähigkeit im massgeblichen Verfügungszeitpunkt vom 26. Februar 2009 schlüssig und zuverlässig beurteilen (vgl. BGE 125 V 353 E. 3b/bb; vgl. zum Ganzen auch E. 2.9 hiervor). Das Gutachten von Dr. med. C._______ wurde auch von Dr. med. D._______, welcher die medizinischen Befunde nicht selber erhob, sondern diese in Form einer Hilfestellung für medizinische Laien aus medizinischer Sicht würdigte (vgl. hierzu Urteil des BGer 8C_756/2008 vom 4. Juni 2009 mit Hinweis auf Urteil des BGer I 143/07 vom 14. September 2007, E. 3.3), insbesondere in dessen Stellungnahme vom 9. November 2008 nicht beanstandet. Da in erster Linie die Expertisen der Dres. med. C._______ und F._______ die voll beweiskräftigen Entscheidgrundlagen bilden, fällt der Umstand, dass der Allgemeinmediziner Dr. med. D._______ nicht über eine fachliche Qualifikation im Bereich der Neurologie und/oder Psychiatrie/Psychotherapie verfügt, nicht weiter ins Gewicht. Das Gutachten von Dr. med. F._______ steht in Übereinstimmung mit der Beurteilung der Dres. med. C._______ und D._______. Zwar bezeichnete Dr. med. F._______ im Rahmen der verwendeten Klassifikation ICD-10 die depressive Episode nicht näher (ICD-10: F32.9). Dies ist jedoch angesichts des Umstands, dass eine psychiatrische Diagnose für sich allein genommen keinen Schluss auf eine gesundheitlich bedingte Einschränkung in der Arbeitsfähigkeit zulässt (vgl. BGE 132 V 65 E. 3.4 mit Hinweisen), nicht weiter von Relevanz. Dass der Beschwerdeführerin von Dr. med. F._______ in der angestammten Tätigkeit als Fachlehrkraft und - damit einhergehend - in einer anderen, ähnliche intellektuelle Anforderungen stellende resp. beinhaltende Tätigkeit eine volle Arbeits- und Leistungsfähigkeit ohne nennenswerte leidensbedingte Einschränkungen attestierte, steht schliesslich auch nicht im Widerspruch zu dem von Dr. med. C._______ abgegebenen Leistungskalkül, unter welches ohne Weiteres auch die bisher von der Beschwerdeführerin ausgeübte Tätigkeit zu subsumieren ist.</w:t>
      </w:r>
    </w:p>
    <w:p>
      <w:r>
        <w:rPr>
          <w:b/>
        </w:rPr>
        <w:t>E. 3.2.3</w:t>
      </w:r>
    </w:p>
    <w:p>
      <w:r>
        <w:t>An diesem Ergebnis vermögen auch die weiteren aktenkundigen Berichte nichts zu ändern. Auf den Bericht von Dr. med. I._______, Fachärztin für Neurologie und Psychiatrie, vom 11. Januar 2007 kann nicht abgestellt werden. Zwar äusserte sich diese Fachärztin hautsächlich zur Arbeitssituation und empfahl einen neuerlichen Krankenstand. Sie machte jedoch keine rechtsgenüglichen Angaben zur Arbeitsfähigkeit in Prozenten im angestammten Beruf und hinsichtlich einer leidensadaptierten Verweisungstätigkeit (act. 33). Beim Bericht von Dr. med. J._______, Fachärztin für Neurologie und Psychiatrie, vom 28. Mai 2008 handelt es sich bloss um eine Behandlungsbestätigung; Angaben zur Arbeits- und Leistungsfähigkeit im angestammten Beruf und in einer den Leiden angepassten Tätigkeit fehlen vollends (act. 36). Dasselbe gilt auch für den Bericht der K._______, Augenabteilung, vom 22. August 2008 (act. 40). Weiter kann dem Bericht der Neurologin und Psychiaterin Dr. med. E._______ vom 8. September 2008 keine Beweiskraft zukommen. Einerseits wurde die Arbeitsunfähigkeit in der angestammten Tätigkeit teilweise mit den subjektiven Angaben der Beschwerdeführerin begründet. Andererseits lieferte Dr. med. E._______ keine rechtsgenügliche Begründung für die vom schlüssigen Gutachten von Dr. med. C._______ abweichende Beurteilung. Schliesslich äusserte sich Dr. med. E._______ auch nicht zur Leistungsfähigkeit in einer den Leiden bestmöglich angepassten Verweisungstätigkeit (act. 42). Das gleiche gilt auch für ihren Bericht vom 15. Januar 2009, in welchem sie explizit erwähnte, dass in einem dem alten Berufsfeld entsprechenden Beruf zukünftig keine Arbeitsfähigkeit gegeben sei; erneut finden sich keine Angaben zu einem Leistungskalkül, das auch andere Arbeiten als die angestammte Tätigkeit umfasst. Schliesslich kommt hinzu, dass - entsprechend den überzeugenden Ausführungen von Dr. med. D._______ - Dr. med. E._______ hinsichtlich der diagnostizierten schweren depressiven Episode ohne psychotische Symptome sowie der Panikstörung keine weiteren genauen Angaben hinsichtlich Symptomatik und Schweregrad machte (act. 53).</w:t>
      </w:r>
    </w:p>
    <w:p>
      <w:r>
        <w:rPr>
          <w:b/>
        </w:rPr>
        <w:t>E. 3.3</w:t>
      </w:r>
    </w:p>
    <w:p>
      <w:r>
        <w:t>Aufgrund der vorstehenden Erwägungen ist zusammenfassend festzuhalten, dass sich der Gesundheitszustand der Beschwerdeführerin im Vergleich zum Zeitpunkt des Erlasses der ersten rentenabweisenden Verfügung vom 1. Mai 1997 nicht in rentenrelevanter Weise verschlechtert hatte (vgl. E. 3. und 3.1. hiervor) und die Versicherte im Verfügungszeitpunkt (26. Februar 2009) gemäss den fachärztlich formulierten, in Übereinstimmung stehenden Zumutbarkeitsprofilen sowohl in der angestammten als auch in einer anderen (Verweisungs-)Tätigkeit noch eine volle Arbeits- und Leistungsfähigkeit aufgewiesen hatte. Da die Beschwerdeführerin im Falle der Verwertung der ihr zumutbaren Restarbeitsfähigkeit in ihrer angestammten Tätigkeit als Fachlehrerin ein rentenausschliessendes Invalideneinkommen von mehr als 60 % des massgebenden Valideneinkommens erzielen könnte und bereits die­ser Pro­zentvergleich zweifelsfrei ergibt, dass ihr kein Invalidenrentenanspruch zusteht, erübrigt sich die Durch­führung eines bezifferten Einkommensvergleiches (BGE 114 V 313 E. 3a mit Hinweisen; vgl. hierzu auch Urteil I 816/05 des EVG vom 7. Juni 2006, E. 4.3).</w:t>
      </w:r>
    </w:p>
    <w:p>
      <w:r>
        <w:rPr>
          <w:b/>
        </w:rPr>
        <w:t>E. 4.1</w:t>
      </w:r>
    </w:p>
    <w:p>
      <w:r>
        <w:t>Betreffend die nach Erlass der angefochtenen Verfügung vom 26. Februar 2009 im Rahmen des hängigen resp. zwischenzeitlich sistieren Beschwerdeverfahrens eingegangenen ärztlichen Berichte und Gutachten ist festzustellen, dass das Bundesverwaltungsgericht die Gesetzmässigkeit der angefochtenen Verfügung in der Regel nach dem Sachverhalt beurteilt, der zur Zeit ihres Erlasses gegeben war. Tatsachen, die jenen Sachverhalt seither verändert haben, sollen im Normalfall Gegenstand einer neuen Ver­waltungsverfügung sein (BGE 130 V 138 E. 2.1, 121 V 362 E. 1b mit Hinweis).</w:t>
      </w:r>
    </w:p>
    <w:p>
      <w:r>
        <w:rPr>
          <w:b/>
        </w:rPr>
        <w:t>E. 4.2</w:t>
      </w:r>
    </w:p>
    <w:p>
      <w:r>
        <w:t>Die vom 13. Mai 2009 bis 29. September 2010, und somit nach Verfügungserlass, erstellten ärztlichen Dokumente (vgl. B-act. 6 [Beilage 12], 14 [Beilagen 1 bis 3], 17 [Beilagen 4 und 5], 19 [Beilagen 2, 5 bis 7, 10], 26, 28 [Beilage 2], 34 [Beilage 2] und 36/1; act. 56) erlauben keine Rückschlüsse auf die im Zeitpunkt des Abschlusses des Verwaltungsverfahrens am 26. Februar 2009 bestehende Situation. Mit anderen Worten sind diese Dokumente also nicht geeignet, die Beurteilung im Zeitpunkt des Verfügungserlasses entscheidend zu beeinflussen (vgl. BGE 121 V 362 E. 1b in fine und BGE 116 V 80 E. 6b). Diese sind aber an die Vorinstanz zu überweisen, damit sie den Leistungsanspruch der Beschwerdeführerin nach dem Zeitpunkt der vorliegend angefochtenen Verfügung vom 26. Februar 2009 beurteilt. Dass die Prüfung der weiteren (gesundheitlichen) Entwicklung ab diesem Datum im Rahmen eines weiteren Verwaltungsverfahrens zu prüfen ist, stellte auch die Vorinstanz in ihrer Duplik vom 18. Oktober 2010 (B-act. 38) nicht in Abrede.</w:t>
      </w:r>
    </w:p>
    <w:p>
      <w:r>
        <w:rPr>
          <w:b/>
        </w:rPr>
        <w:t>E. 5</w:t>
      </w:r>
    </w:p>
    <w:p>
      <w:r>
        <w:t>Aufgrund der vorstehenden Erwägungen ist zusammenfassend festzustellen, dass sich die angefochtene Verfügung vom 26. Februar 2009 als korrekt erweist, weshalb die dagegen erhobene Beschwerde vom 20. März 2009 abzuweisen ist. Die Akten sind an die Vorinstanz zur Prüfung des Leistungsanspruchs nach dem Zeitpunkt der angefochtenen Verfügung vom 26. Februar 2009 zu überweisen.</w:t>
      </w:r>
    </w:p>
    <w:p>
      <w:r>
        <w:rPr>
          <w:b/>
        </w:rPr>
        <w:t>E. 6</w:t>
      </w:r>
    </w:p>
    <w:p>
      <w:r>
        <w:t>Zu befinden bleibt noch über die Verfahrenskosten und eine allfällige Parteientschädigung.</w:t>
      </w:r>
    </w:p>
    <w:p>
      <w:r>
        <w:rPr>
          <w:b/>
        </w:rPr>
        <w:t>E. 6.1</w:t>
      </w:r>
    </w:p>
    <w:p>
      <w:r>
        <w:t>Entsprechend dem Ausgang des Verfahrens hat die Beschwerde­führerin die Verfahrenskosten zu tragen (Art. 63 Abs. 1 VwVG). Diese werden auf Fr. 400.- festgesetzt und sind mit dem geleisteten Kostenvorschuss in gleicher Höhe zu verrechnen.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