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C-2233/2009 vom 30. August 2010</w:t>
      </w:r>
    </w:p>
    <w:p>
      <w:r>
        <w:t>Bundesverwaltungsgericht, 2010-08-30, DE</w:t>
      </w:r>
    </w:p>
    <w:p>
      <w:r>
        <w:rPr>
          <w:b/>
        </w:rPr>
        <w:t xml:space="preserve">Quelle: </w:t>
      </w:r>
      <w:r>
        <w:t>https://mcp.opencaselaw.ch/entscheid/bvger_C-2233_2009</w:t>
      </w:r>
    </w:p>
    <w:p>
      <w:r>
        <w:t>FR: TAF C-2233/2009 du 30 août 2010</w:t>
      </w:r>
    </w:p>
    <w:p>
      <w:r>
        <w:t>IT: TAF C-2233/2009 del 30 agosto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 bis 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Serbien und (nach dessen Unabhängigkeitserklärung) Kosovo, neue Abkommen über Soziale Sicherheit abgeschlossen. Mit dem Kosovo wird das Sozialversicherungsabkommen mit Jugoslawien seit dem 1. April 2010 nicht mehr weitergeführt. Für den Beschwerdeführer als Bürger des Kosovo findet demnach das schweizerisch-jugoslawische Sozialversicherungsabkommen vom 8. Juni 1962 insoweit Anwendung, als Sachverhalte zu beurteilen sind, die sich vor dem 1. April 2010 ereignet haben.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w:t>
      </w:r>
    </w:p>
    <w:p>
      <w:r>
        <w:rPr>
          <w:b/>
        </w:rPr>
        <w:t>E. 2.2</w:t>
      </w:r>
    </w:p>
    <w:p>
      <w:r>
        <w:t>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132 V 220 E. 3.1.1, 131 V 11 E. 1). Daher ist ein allfälliger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 dass die zur altrechtlichen Regelung ergangene Rechtsprechung weiterhin massgebend ist (vgl. Urteil des Bundesgerichts [BGer] 8C_373/2008 vom 28. August 2008 E. 2.1). Neu normiert wurde dagegen die minmale Beitragsdauer, welche von einem Jahr auf drei Jahre erhöht wurde (Art. 36 Abs. 1 IVG [in der Fassung der 5. IV-Revision, AS 2007 5129]) und der Zeitpunkt des Rentenbeginns, der - sofern die entsprechenden Anspruchsvoraussetzungen gegeben sind - gemäss Art. 29 Abs. 1 IVG (in der Fassung der 5. IV-Revision) frühestens sechs Monate nach Geltendmachung des Leistungsanspruchs nach Art. 29 Abs. 1 ATSG entsteht. Hat das Wartejahr allerdings vor dem 1. Januar 2008 zu laufen begonnen und wurde die Anmeldung bis spätestens am 31. Dezember 2008 eingereicht, so gilt das alte Recht (vgl. auch Rundschreiben Nr. 253 des Bundesamtes für Sozialversicherungen [BSV] vom 12. Dezember 2007 [5. IV-Revision und Intertemporalrecht]). Vorliegend hat der Beschwerdeführer die Anmeldung im Januar 2008 eingereicht, weshalb nachfolgend zu prüfen ist, ob das Wartejahr bereits im Jahr 2007 zu laufen begonnen hat. Sofern nachfolgend nicht anders vermerkt, wird jeweils die seit 1. Januar 2008 geltende Fassung der anwendbaren Bestimmungen zitiert.</w:t>
      </w:r>
    </w:p>
    <w:p>
      <w:r>
        <w:rPr>
          <w:b/>
        </w:rPr>
        <w:t>E. 3.3</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w:t>
      </w:r>
    </w:p>
    <w:p>
      <w:r>
        <w:rPr>
          <w:b/>
        </w:rPr>
        <w:t>E. 3.4</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 Gemäss Art. 29 Abs. 4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den Kosovo nicht der Fall ist.</w:t>
      </w:r>
    </w:p>
    <w:p>
      <w:r>
        <w:rPr>
          <w:b/>
        </w:rPr>
        <w:t>E. 3.6</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3.6.1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3.6.2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3.6.3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3.7</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4</w:t>
      </w:r>
    </w:p>
    <w:p>
      <w:r>
        <w:t>Nachfolgend ist zu prüfen, ob die IVSTA das Leistungsbegehren des Beschwerdeführers zu Recht abgewiesen hat.</w:t>
      </w:r>
    </w:p>
    <w:p>
      <w:r>
        <w:rPr>
          <w:b/>
        </w:rPr>
        <w:t>E. 4.1</w:t>
      </w:r>
    </w:p>
    <w:p>
      <w:r>
        <w:t>Der Beschwerdeführer macht im Wesentlichen geltend, er sei zu Unrecht nicht durch den medizinischen Dienst der IVSTA begutachtet worden. Zudem habe die IVSTA ausser Acht gelassen, dass ihm fachärztliche Berichte eine volle Arbeitsunfähigkeit bescheinigten und ihm daher selbst eine leichte Verweistätigkeit nicht mehr zumutbar sei.</w:t>
      </w:r>
    </w:p>
    <w:p>
      <w:r>
        <w:rPr>
          <w:b/>
        </w:rPr>
        <w:t>E. 4.2</w:t>
      </w:r>
    </w:p>
    <w:p>
      <w:r>
        <w:t>Die IVSTA wendet demgegenüber ein, die ausländischen Berichte unterlägen der freien Würdigung durch die Organe der schweizerischen Invalidenversicherung. Es lägen keine Berichte vor, die auf das Vorliegen einer Einschränkung in leichteren Verweistätigkeiten schliessen liessen; eine zusätzliche Untersuchung sei nicht notwendig, zumal aufgrund der vorliegenden Akten eine ausreichende medizinische Beurteilung möglich sei. Der ermittelte Invaliditätsgrad liege lediglich bei 5%, weshalb der Beschwerdeführer keinen Anspruch auf eine Rente habe.</w:t>
      </w:r>
    </w:p>
    <w:p>
      <w:r>
        <w:rPr>
          <w:b/>
        </w:rPr>
        <w:t>E. 4.3.1</w:t>
      </w:r>
    </w:p>
    <w:p>
      <w:r>
        <w:t>Einleitend ist festzustellen, dass der Beschwerdeführer sowohl die einjährige (4. IV-Revision) als auch die dreijährige Mindestbeitragsdauer (5. IV-Revision; vgl. E. 3.2 hiervor), welche je nach (noch festzustellendem) Beginn des Wartejahres erfüllt sein muss, unbestrittenermassen erfüllt hat. Ferner ist darauf hinzuweisen, dass - entgegen der (implizit geäusserten) Meinung des Beschwerdeführers - keine Bindung an ausländische Entscheide besteht und somit die IVSTA grundsätzlich unabhängig von ausländischen Rentenentscheiden über das Leistungsgesuch befinden kann (vgl. E. 2.2 hiervor). Die am 22. Mai 2002 erfolgte Zusprache einer Kriegsinvalidenrente im Kosovo (act. 7) hat somit keinen Einfluss auf den Entscheid der IVSTA. Ferner ist darauf hinzuweisen, dass die IVSTA nicht verpflichtet war, den Beschwerdeführer in der Schweiz untersuchen zu lassen, sofern die vorhandenen ausländischen Gutachten den Anforderungen genügen und eine ausreichende Grundlage bilden, um über den Anspruch des Beschwerdeführers zu entscheiden. Diese Frage ist nachfolgend zu prüfen.</w:t>
      </w:r>
    </w:p>
    <w:p>
      <w:r>
        <w:rPr>
          <w:b/>
        </w:rPr>
        <w:t>E. 4.3.2</w:t>
      </w:r>
    </w:p>
    <w:p>
      <w:r>
        <w:t>Dem Austrittsbericht und dem Attest der Klinik A._______ vom 24. Oktober 1995 und vom 28. Februar 2002, dem Attest von Dr. B._______, Psychiater, vom 17. Februar 2004, der Computertomographie des Schädels vom 4. Januar 2005, dem Attest von Ass. Dr. C._______, Neuropsychiater, vom 3. Februar 2005, dem Attest von Dr. D._______, Neuropsychiater, vom 20. Oktober 2001, dem Attest von Dr. E._______, Facharzt für innere Medizin und Gastroenterologie, vom 14. Dezember 2004, dem Attest von Dr. F._______, Neuropsychiater, vom 1. März 2002, dem Attest von Dr. G._______, Facharzt für innere Medizin und Diabetologie, vom 15. Dezember 2004, dem Attest von Dr. H._______, Facharzt für ORL, vom 31. Januar 2005 sowie den Stellungnahmen von Dr. med. I._______, Facharzt für Allgemeinmedizin, des RAD Rhone vom 26. Oktober 2008 und vom 17. Februar 2009 sind folgende Diagnosen zu entnehmen: Status nach Schädel-Hirn-Trauma, Gesichts- und Körperprellung, reaktive Angst und depressive Störung gemischt, akute Mittelohrentzündung links, Status nach Kriegsverletzung durch Schusswaffe am rechten Bein mit Verletzung des vorderen nervus tibialis, multiple Hirnläsionen in beiden Grosshirnhemisphären, Zeichen einer beidseitigen Mastoiditis, Deformation des (ersten Abschnitts des) Zwölffingerdarms, organisches Psychosyndrom, arterielle Hypertonie, posttraumatische Belastungsstörung, Lumbalsyndrom, Schwindel und linksseitige Kyphose. Diejenigen untersuchenden Ärzte, die sich zur Arbeitsfähigkeit geäussert haben, schätzten die Einschränkung der Arbeitsfähigkeit auf 60% respektive 100% (Dr. F._______ und Dr. D._______) oder begnügten sich mit dem Hinweis auf eine bestehende Einschränkung der Arbeitsfähigkeit, ohne diese zu beziffern (Dr. E._______). Allerdings geht aus keinem der Atteste der begutachtenden Ärzte hervor, ob sich die angegebene Einschränkung auf die bisher ausgeübte Tätigkeit als Hilfsmaurer oder auch auf Verweistätigkeiten bezieht. Schliesslich ist darauf hinzuweisen, dass selbst Ärzte desselben Fachgebietes die Arbeitsfähigkeit des Beschwerdeführers unterschiedlich einschätzen (vgl. die Einschätzungen der beiden Neuropsychiater Dr. D._______ [100% Arbeitsunfähigkeit] und Dr. F._______ [60% Arbeitsunfähigkeit]). Hinzu kommt, dass keiner der genannten Ärzte seine Einschätzung der Arbeitsfähigkeit begründet hat. Der beurteilende RAD-Arzt, Dr. med. I._______, geht davon aus, dass der Beschwerdeführer in seiner bisherigen Tätigkeit seit dem Jahr 1999 zu 100% arbeitsunfähig und in einer Verweistätigkeit voll arbeitsfähig sei. Er begründet dies damit, dass in den Vorakten der untersuchenden Ärzte keinerlei Begründung für die vielfältigen gestellten psychischen Diagnosen zu finden und somit davon auszugehen sei, dass die psychischen Beschwerden nicht von einer solchen Erheblichkeit seien, dass sie einen Einfluss auf die Arbeitsfähigkeit hätten. Die somatischen Beschwerden schliessten die Ausübung einer angepassten Tätigkeit nicht aus, weshalb für Verweistätigkeiten eine volle Arbeitsfähigkeit gegeben sei.</w:t>
      </w:r>
    </w:p>
    <w:p>
      <w:r>
        <w:rPr>
          <w:b/>
        </w:rPr>
        <w:t>E. 4.3.3</w:t>
      </w:r>
    </w:p>
    <w:p>
      <w:r>
        <w:t>Aufgabe des medizinischen Dienstes der IV-Stelle (beziehungsweise des regionalen ärztlichen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(Urteil des BGer 9C_341/2007 vom 16. November 2007 E. 4.1 mit Hinweisen). Eine solche Zusammenfassung und Würdigung des medizinischen Sachverhalts liegt hier nicht beziehungsweise nur in ungenügender Weise vor. Dabei fehlt nicht nur eine Auseinandersetzung mit den abweichenden Einschätzungen der örtlichen medizinischen Fachpersonen, sondern auch mit den gestellten Diagnosen und deren möglichen Auswirkungen auf die Arbeitsfähigkeit. Die Beurteilung der Arbeitsfähigkeit durch Dr. med. I._______ ist daher weder nachvollziehbar noch schlüssig, weshalb nicht darauf abzustellen ist. Wie oben bereits ausgeführt, sind auch die anderen Atteste (inklusive derjenigen, welche im Beschwerdeverfahren eingereicht wurden) nicht schlüssig respektive unvollständig und viel zu kurz, da sie in der Regel lediglich die Diagnosen und die verordnete Medikation enthalten, so dass gestützt darauf nicht beurteilt werden kann, ob und für welche Tätigkeiten beim Beschwerdeführer eine Arbeitsunfähigkeit vorliegt. Zusammenfassend ist festzuhalten, dass gestützt auf die vorliegenden Kurzatteste die gesundheitliche Situation und deren Einfluss auf die Arbeitsfähigkeit des Beschwerdeführers nicht beurteilt werden kann und somit eine weitere, umfassende Beurteilung vorzunehmen ist. Die Beschwerde ist somit teilweise gutzuheissen, die angefochtene Verfügung vom 27. Februar 2009 aufzuheben und die Sache ist zur erneuten Abklärung des medizinischen Sachverhalts in somatischer und psychiatrischer Hinsicht an die IVSTA zurückzuweisen. Daher ist im jetzigen Zeitpunkt auch nicht über den Antrag des Beschwerdeführers auf Zusprache von Verzugszinsen zu entscheiden.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Ihm ist der geleistete Kostenvorschuss in der Höhe von Fr. 300.-- nach Eintritt der Rechtskraft des vorliegenden Entscheids auf ein von ihm bekannt zu gebendes Konto zurückzuerstatten. Der unterliegenden Vorinstanz sind keine Verfahrenskosten aufzuerlegen (Art. 63 Abs. 2 VwVG).</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vorliegend anwaltlich vertreten. Ihm ist daher eine Parteientschädigung für die ihm entstandenen notwendigen Kosten zuzusprechen. Da keine Kostennote eingereicht wurde, ist die Parteientschädigung aufgrund der Akten festzusetzen (Art. 14 Abs. 2 VGKE). Eine Parteientschädigung in der Höhe von Fr. 600.-- erscheint unter Berücksichtigung des aktenkundigen Aufwandes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