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C-222/2020 vom 8. Februar 2021</w:t>
      </w:r>
    </w:p>
    <w:p>
      <w:r>
        <w:t>Bundesverwaltungsgericht, 2021-02-08, DE</w:t>
      </w:r>
    </w:p>
    <w:p>
      <w:r>
        <w:rPr>
          <w:b/>
        </w:rPr>
        <w:t xml:space="preserve">Quelle: </w:t>
      </w:r>
      <w:r>
        <w:t>https://mcp.opencaselaw.ch/entscheid/bvger_C-222_2020</w:t>
      </w:r>
    </w:p>
    <w:p>
      <w:r>
        <w:t>FR: TAF C-222/2020 du 8 février 2021</w:t>
      </w:r>
    </w:p>
    <w:p>
      <w:r>
        <w:t>IT: TAF C-222/2020 del 8 febbraio 2021</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21. November 2019 stellt eine Verfügung im Sinne von Art. 5 Abs. 1 VwVG dar. Dagegen hat der Beschwerdeführer am 20. Dezember 2019 fristgerecht (Art. 50 in Verbindung mit Art. 22a Abs. 1 lit. b VwVG) und formgerecht (Art. 52 VwVG) Beschwerde erheben lassen. Als Adressat ist er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gemäss Art. 37 VGG grundsätzlich nach dem VwVG, soweit das VGG nichts anderes bestimmt.</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2.4</w:t>
      </w:r>
    </w:p>
    <w:p>
      <w:r>
        <w:t>Im Beschwerdeverfahren vor dem Bundesverwaltungsgericht ist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(zum Ganzen: MOSER et al., a.a.O., Rz. 1.49, mit weiteren Hinweisen). Die Beschwerdeinstanz ist je-denfalls nicht verpflichtet, über die tatsächlichen Vorbringen der Parteien hinaus den Sachverhalt vollkommen neu zu erforschen (BGE 122 V 157 E. 1a, BGE 121 V 204 E. 6c; BVGE 2007/27 E. 3.3; vgl. Urteile des BVGer A-5832/2016 vom 18. April 2017 E. 1.6.1 und A-1746/2016 vom 17. Januar 2017 E. 1.4; MOSER et al., a.a.O., Rz. 1.52).</w:t>
      </w:r>
    </w:p>
    <w:p>
      <w:r>
        <w:rPr>
          <w:b/>
        </w:rPr>
        <w:t>E. 2.5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vgl. Urteil des BVGer A-6660/2011 vom 29. Mai 2012 E. 4.2.1; MOSER et al.,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A-5063/2017 vom 21. März 2018 E. 1.4.2 und A-5832/2016 vom 18. April 2017 E. 1.6.2, mit weiteren Hinweisen; MOSER et al., a.a.O., Rz. 3.149 ff.).</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Grenzbetrag wird vom Bundesrat gemäss Art. 9 BVG periodisch angepasst und betrug im Jahr 2018 Fr. 21'150.- und im Jahr 2019 Fr. 21'330.-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w:t>
      </w:r>
    </w:p>
    <w:p>
      <w:r>
        <w:rPr>
          <w:b/>
        </w:rPr>
        <w:t>E. 3.2</w:t>
      </w:r>
    </w:p>
    <w:p>
      <w:r>
        <w:t>Gemäss Art. 1j Abs. 1 lit. b BVV 2 sind Arbeitnehmer mit einem befristeten Arbeitsvertrag von höchstens drei Monaten von der obligatorischen Versicherung ausgenommen. Wird das Arbeitsverhältnis über die Dauer von drei Monaten hinaus verlängert, so sind sie vom Zeitpunkt an versichert, in dem die Verlängerung vereinbart wurde. Mit dieser Bestimmung sollen vorübergehende kurze Beschäftigungen nicht erfasst werden, was einer administrativen Entlastung der Vorsorgeeinrichtungen dient. Die Dreimonatsfrist findet eine entsprechende Norm in der AHV-Unterstellung von Arbeitnehmern, die sich nur vorübergehend in der Schweiz aufhalten (Art. 2 Abs. 1 lit. b der Verordnung vom 31. Oktober 1947 über die Alters- und Hinterlassenenversicherung [AHVV, SR 831.101)]; Hans Ulrich Stauffer, Berufliche Vorsorge, Zürich, Basel, Genf 2013, S. 221 N. 666). Ob dies der Fall ist,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(Isabelle Vetter-Schreiber, Berufliche Vorsorge, Zürich 2013, Kommentar zu Art. 1 Abs. 1 lit. j BVV 2, S. 359). Gemäss Praxis des Bundesverwaltungsgerichts ist anhand der konkreten Verhältnisse zu prüfen, ob ein befristetes Arbeitsverhältnis vorliegt. Dabei ist auf den Parteiwillen bei Vertragsabschluss oder andere Umstände abzustellen. Entscheidend ist allerdings, dass die Dauer des Arbeitseinsatzes bei Vertragsschluss voraussehbar ist (Urteile des Bundesverwaltungsgerichts C-2376/2006 vom 4. Juni 2007, E. 4.3.1; C-2467/2006 vom 4. August 2008, E. 3.3 sowie C-4770/2007 vom 12. November 2008, E. 4.2.1). Für die Beurteilung der Dauer des Arbeitsverhältnisses (z.B. ob es sich um ein befristetes oder unbefristetes Arbeitsverhältnis handelt) spielt es keine Rolle, ob der Arbeitseinsatz in dieser Zeit unregelmässig (z.B. auf Abruf, mit Unterbrüchen) erfolgt. Massgebend ist allein die Gesamtdauer des Arbeitsverhältnisses an sich, wie sie die Parteien vereinbart haben (ZAK 185 S. 366).</w:t>
      </w:r>
    </w:p>
    <w:p>
      <w:r>
        <w:rPr>
          <w:b/>
        </w:rPr>
        <w:t>E. 3.3</w:t>
      </w:r>
    </w:p>
    <w:p>
      <w:r>
        <w:t>Nach Art. 334 Abs. 1 des Obligationenrechts vom 30. März 1911 (OR, SR 220) ist ein Arbeitsverhältnis dann im Sinne des Gesetzes befristet, wenn es ohne Kündigung endet. Beim echten befristeten Arbeitsvertrag beendigt der Fristenlauf ohne Weiteres die Anstellung. Das entspricht dem Wesen des Vertrags auf Zeit. Voraussetzung ist bloss, dass die Beendigung klar genug abgemacht ist (Ullin Streiff/Adrian von Kaenel/Roger Rudolph, Arbeitsvertrag, Praxiskommentar zu Art. 319 362 OR, 7. Aufl., Zürich 2012, N. 2 und 4 zu Art. 334). Alle Arbeitsverträge, bei welchen der Beendigungszeitpunkt nicht im Voraus von den Vertragsparteien vereinbart wurde und die damit mit einer Kündigung aufgelöst werden müssen, sind als unbefristete Verträge im Sinne von Art. 335 OR zu qualifizieren (vgl. Urteil des Eidgenössischen Versicherungsgerichtes [heute Bundesgericht] B 90/00 vom 26. November 2001 E. 4b).</w:t>
      </w:r>
    </w:p>
    <w:p>
      <w:r>
        <w:rPr>
          <w:b/>
        </w:rPr>
        <w:t>E. 3.4</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3.4.1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3.4.2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A-5687/2016 vom 6. April 2017 E. 2.4.2, A-1046/2016 vom 15. Dezember 2016 E. 2.7, A-532/2016 vom 7. Oktober 2016 E. 2.2.2, A-7102/2014 vom 11. Mai 2016 E. 2.4.3).</w:t>
      </w:r>
    </w:p>
    <w:p>
      <w:r>
        <w:rPr>
          <w:b/>
        </w:rPr>
        <w:t>E. 3.4.3</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 Der entsprechende Anschluss erfolgt (ebenfalls) rückwirkend auf den Zeitpunkt, in welchem die zu versichernde Person erstmals ihre Stelle antritt (vgl. Art. 3 Abs. 1 der Verordnung Auffangeinrichtung sowie Urteil A-3819/2016 E. 3.7.3).</w:t>
      </w:r>
    </w:p>
    <w:p>
      <w:r>
        <w:rPr>
          <w:b/>
        </w:rPr>
        <w:t>E. 3.4.4</w:t>
      </w:r>
    </w:p>
    <w:p>
      <w:r>
        <w:t>Während die blosse Säumnis des Arbeitgebers, sich einer Vorsorgeeinrichtung anzuschliessen, zu einem Zwangsanschluss nach Art. 60 Abs. 2 Bst. a BVG führt, richtet sich der Anschluss nach Art. 60 Abs. 2 Bst. d BVG, sofern vor dem Anschluss an eine Vorsorgeeinrichtung Leistungsansprüche entstanden sind. Das Bundesgericht hat denn auch in BGE 130 V 526 E. 4.3 festgehalten, dass es sich bei der Verfügung nach Art. 60 Abs. 2 Bst. a BVG um eine Gestaltungsverfügung handelt, durch welche dem Arbeitgeber neue Pflichten auferlegt werden. Der Anschluss nach Art. 60 Abs. 2 Bst. d BVG hingegen erfolgt aufgrund des Gesetzes und die entsprechende Verfügung der Auffangeinrichtung hat deshalb bloss feststellenden Charakter (vgl. dazu auch Urteile des BVGer A-5692/2016 vom 12. Juni 2017 E. 3.11.2, A-6967/2016 vom 12. Mai 2017 E. 2.2.3).</w:t>
      </w:r>
    </w:p>
    <w:p>
      <w:r>
        <w:rPr>
          <w:b/>
        </w:rPr>
        <w:t>E. 3.5</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8. Mai 2019). Dieses Reglement bildet auch im vorliegenden Fall integrierenden Bestandteil der Zwangsanschlussverfügung. Es sieht unter der Rubrik «Zwangsanschluss» für «Verfügung und Durchführung Zwangsanschluss» Kosten von Fr. 825.- vor.</w:t>
      </w:r>
    </w:p>
    <w:p>
      <w:r>
        <w:rPr>
          <w:b/>
        </w:rPr>
        <w:t>E. 4</w:t>
      </w:r>
    </w:p>
    <w:p>
      <w:r>
        <w:t>Streitig und zu prüfen ist, ob C._______ als obligatorisch zu versichernder Arbeitnehmer zu qualifizieren ist (vgl. E. 5) und der am 21. November 2019 verfügte Zwangsanschluss zu Recht erfolgt ist (vgl. E. 6).</w:t>
      </w:r>
    </w:p>
    <w:p>
      <w:r>
        <w:rPr>
          <w:b/>
        </w:rPr>
        <w:t>E. 5.1</w:t>
      </w:r>
    </w:p>
    <w:p>
      <w:r>
        <w:t>Der Beschwerdeführer macht am 20. Dezember 2019 beschwerdeweise geltend, er habe im Jahr 2018 keine Mitarbeiter beschäftigt, welche dem BVG-Obligatorium unterstehen (B-act. 1). In der Lohndeklaration 2018 hält er fest, dass er beitragspflichtige Löhne ausbezahlt habe: Fr. 2'362.95 an B._______ für den Zeitraum von September bis November 2018 und Fr. 8'546.60 an C._______ für den Zeitraum von August bis November 2018 (B-act. 8 Beilage 4). Am 18. April 2019 teilte der Beschwerdeführer mit, er sei keiner Vorsorgeeinrichtung angeschlossen, da seine Arbeitnehmer auf drei Monate befristet angestellt gewesen seien und es sich dabei um gelegentliche kurzfristige Aushilfen gehandelt habe (B-act. 8 Beilage 1). In der Replik vom 18. März 2020 hält der Beschwerdeführer ausserdem fest, er habe sich per 3. Januar 2020 einer Vorsorgeeinrichtung angeschlossen (B-act. 10). Die Vorinstanz hingegen vertritt in ihrer Stellungnahme vom 28. Februar 2020 die Meinung, der Beschwerdeführer habe einen Arbeitnehmer (C._______) beschäftigt, welcher hochgerechnet auf ein Jahr ein Einkommen von Fr. 25'639.80 erhalten habe und deshalb den im Jahr 2018 gültigen Mindestlohn von Fr. 21'150.- überschreite. Der Beschwerdeführer habe nicht nachgewiesen, dass das Arbeitsverhältnis auf drei Monate befristet gewesen sei. Der Zwangsanschluss sei somit rechtens erfolgt (B-act. 8).</w:t>
      </w:r>
    </w:p>
    <w:p>
      <w:r>
        <w:rPr>
          <w:b/>
        </w:rPr>
        <w:t>E. 5.2</w:t>
      </w:r>
    </w:p>
    <w:p>
      <w:r>
        <w:t>Aus den Akten ergibt sich, dass der Beschwerdeführer im Jahr 2018 zwei Arbeitnehmer beschäftigt hat. Wie der Beschwerdeführer selbst festhält, war C._______ von August bis November 2018 für ihn tätig und hat eine Lohnsumme von Fr. 8'546.80 bezogen. B._______ war von September bis November 2018 für den Beschwerdeführer tätig und hat in dieser Zeit einen Lohn von Fr. 2'362.95 erhalten. Der Beschwerdeführer macht geltend, dass er mit beiden Arbeitnehmern einen befristeten dreimonatigen Arbeitsvertrag abgeschlossen habe (B-act. 8 Beilage 1). Dies steht bezüglich C._______ im Widerspruch zur Lohndeklaration 2018, in welcher der Beschwerdeführer eine Beitragsdauer von August bis November im Jahr 2018 angibt und damit von einer viermonatigen Beschäftigung auszugehen ist. Der Beschwerdeführer reicht auch keine weiteren Belege ein, die nachweisen, dass bei Vertragsabschluss ein befristeter dreimonatiger Arbeitsvertrag vereinbart worden wäre und das Arbeitsverhältnis tatsächlich drei Monate gedauert hat (vgl. E. 3.2). Auch wenn es sich bei den Arbeiten um kurzfristige Einsätze/Aushilfen handelte, ändert dies nichts daran, dass C._______ von August bis November 2018 und damit für mehr als drei Monate beim Beschwerdeführer beschäftigt war. Nicht entscheidend ist, wie häufig es zum tatsächlichen Arbeitseinsatz kam, sondern ob das Arbeitsverhältnis zum Zeitpunkt des Vertragsabschlusses auf drei Monate befristet worden ist (vgl. E.3.2). Gemäss der allgemeinen Beweislastregel hat diejenige Person das Vorhandensein einer behaupteten Tatsache zu beweisen, die aus ihr Rechte ableitet. Bei Beweislosigkeit ist folglich zu Ungunsten derjenigen Person zu entscheiden, welche die Beweislast trägt (vgl. E. 2.5). Der Beschwerdeführer reichte keine Unterlagen ein, welche seine Behauptungen eines bei Vertragsabschluss vereinbarten befristeten dreimonatigen Arbeitsverhältnisses stützen würden. C._______ war somit nicht im Sinne von Art. 1j Abs. 1 lit. b BVV 2 von der obligatorischen Versicherung ausgenommen. Die Vorinstanz ist zu Recht davon ausgegangen, dass C._______ der obligatorischen Versicherung zu unterstellen ist. Zu Recht hat die Vorinstanz ausserdem festgestellt, dass B._______ nicht der obligatorischen Versicherung untersteht, da sein Jahreslohn unter der Eintrittsschwelle liegt und das Arbeitsverhältnis nicht länger als drei Monate dauerte (vgl. E. 3.1). Dasselbe gilt für das Jahr 2015, in welchem E._______ für knapp drei Wochen vom 19. Mai bis 5. Juni 2015 beim Beschwerdeführer beschäftigt war (B-act. 8 Beilage 4).</w:t>
      </w:r>
    </w:p>
    <w:p>
      <w:r>
        <w:rPr>
          <w:b/>
        </w:rPr>
        <w:t>E. 6</w:t>
      </w:r>
    </w:p>
    <w:p>
      <w:r>
        <w:t>Da C._______bereits im November 2018 wieder ausgetreten ist, ist ein gesetzlicher Anspruch auf eine Freizügigkeitsleistung entstanden zu einem Zeitpunkt, in welchem der Beschwerdeführer keiner Vorsorgeeinrichtung angeschlossen war. Die Vorinstanz hat folglich korrekterweise in Anwendung von Art. 60 Abs. 2 Bst. d BVG einen Zwangsanschluss verfügt (vgl. E. 3.4.3). Dieser hat rückwirkend auf den Zeitpunkt des Stellenantrittes zu erfolgen. Der Anschluss hat - wie von der Vorinstanz verfügt - somit auf den 1. August 2018 zu erfolgen.</w:t>
      </w:r>
    </w:p>
    <w:p>
      <w:r>
        <w:rPr>
          <w:b/>
        </w:rPr>
        <w:t>E. 7.1</w:t>
      </w:r>
    </w:p>
    <w:p>
      <w:r>
        <w:t>Zu prüfen bleibt, ob der Zwangsanschluss zu Recht unbefristet verfügt worden ist. Der Beschwerdeführer macht geltend, er habe auch im Jahr 2019 keine Arbeitnehmer beschäftigt, die zu versichern seien. Ab 3. Januar 2020 habe er sich zudem der F._______ angeschlossen. Die Vorinstanz entgegnet hierzu, der Anschluss erfolge rückwirkend und habe auch Gültigkeit für das Jahr 2019, selbst wenn der Beschwerdeführer kein obligatorisch zu versicherndes Personal beschäftigt habe. Der Anschluss bestehe beim Ausbleiben einer Kündigung weiter.</w:t>
      </w:r>
    </w:p>
    <w:p>
      <w:r>
        <w:rPr>
          <w:b/>
        </w:rPr>
        <w:t>E. 7.2</w:t>
      </w:r>
    </w:p>
    <w:p>
      <w:r>
        <w:t>Beschäftigt ein Arbeitgeber vorübergehend kein obligatorisch zu versicherndes Personal, so besteht ein unbefristeter Zwangsanschluss ohne Kündigung bzw. ohne neuen Anschluss an eine andere Vorsorgeeinrichtung grundsätzlich dennoch weiter, wobei in dieser Zeit keine Beiträge zu entrichten sind (vgl. statt vieler Urteil des BGer 9C_141/2013 vom 7. April 2013 E. 2.1 sowie Urteile des BVGer A-7718/2015 vom 28. Juli 2016 E. 4.4.1 und A-7102/2014 vom 11. Mai 2016 E. 3.2.2 je mit Hinweisen). Im vorliegenden Fall beschäftigte der Beschwerdeführer im Jahr 2019 gemäss Lohndeklaration drei Arbeitnehmer, die entweder nur einen Monat beschäftigt waren (H._______ und I._______) oder mit einem auf ein Jahr hochgerechneten Einkommen von Fr. 20'355.- (Fr. 15'266.- : 9 x 12) unter der Eintrittsschwelle für den im Jahr 2019 geltenden Mindestlohn von Fr. 21'330.- (J._______) lagen. Aktenkundig ist somit, dass der Beschwerdeführer nach der Auflösung des Arbeitsverhältnisses mit C._______ im November 2018 bis Ende 2019 kein versicherungspflichtiges Personal mehr beschäftigte und sich danach ab dem 3. Januar 2020 der F._______, anschloss (B-act. 10 Beilage). Der Umstand, dass mit dem Neuanschluss bei der F._______ ab Januar 2020 unbestrittenermassen eine Doppelversicherung besteht, führt nicht zu einer formlosen Auflösung des rechtmässig verfügten Zwangsanschlusses. Wie das Bundesgericht im Urteil 9C_141/2013 vom 7. April 2013 E. 2 ausdrücklich festhielt, ist ein rechtmässig verfügter Zwangsanschluss - auch wenn zwischenzeitlich ein Anschluss an eine andere Vorsorgeeinrichtung erfolgte und insofern eine unzulässige Doppelversicherung besteht (vgl. BGE 120 V 15 E. 4a) - ordnungsgemäss zu kündigen. Im vorliegenden Fall gilt diesbezüglich Folgendes: Gemäss Ziff. 2 des Dispositivs der Verfügung betreffend Zwangsanschluss per 1. August 2018 ergeben sich die Rechte und Pflichten aus den im Anhang beschriebenen Anschlussbedingungen, welche einen integrierenden Bestandteil der angefochtenen Verfügung bilden. Art. 6 der Anschlussbedingungen sieht unter dem Titel "Ende" vor, dass der Anschluss beidseitig unter Einhaltung einer sechsmonatigen Kündigungsfrist jeweils per Jahresende gekündigt werden kann. Indessen werde die Kündigung durch den Arbeitgeber u.a. nur dann wirksam, wenn der Arbeitgeber den Nachweis erbringe, dass die Personalvorsorge auf eine andere registrierte Vorsorgeeinrichtung übertragen werde. Damit ist auch die Nichtbefristung des Zwangsanschlusses durch die Vorinstanz zu bestätigen.</w:t>
      </w:r>
    </w:p>
    <w:p>
      <w:r>
        <w:rPr>
          <w:b/>
        </w:rPr>
        <w:t>E. 8</w:t>
      </w:r>
    </w:p>
    <w:p>
      <w:r>
        <w:t>Nicht zu beanstanden und vom Beschwerdeführer auch nicht bestritten ist die Auferlegung der Kosten für die Verfügung sowie die Durchführung des Zwangsanschlusses in der Höhe von Fr. 825.- (vgl. E. 3.5).</w:t>
      </w:r>
    </w:p>
    <w:p>
      <w:r>
        <w:rPr>
          <w:b/>
        </w:rPr>
        <w:t>E. 9</w:t>
      </w:r>
    </w:p>
    <w:p>
      <w:r>
        <w:t>Aufgrund der vorstehenden Erwägungen ist zusammenfassend festzuhalten, dass die Vorinstanz zu Recht einen Zwangsanschluss i.S.v. Art. 60 Abs. 2 Bst. d BVG verfügt hat, da C._______ obligatorisch zu versichern war (E. 5.2) und ein gesetzlicher Anspruch auf eine Freizügigkeitsleistung entstanden ist (vgl. E. 6). Der Anschluss ist zu Recht unbefristet erfolgt (vgl. 7.2). Die Beschwerde ist damit abzuweisen und die angefochtene Verfügung zu bestätigen.</w:t>
      </w:r>
    </w:p>
    <w:p>
      <w:r>
        <w:rPr>
          <w:b/>
        </w:rPr>
        <w:t>E. 10</w:t>
      </w:r>
    </w:p>
    <w:p>
      <w:r>
        <w:t>Zu befinden bleibt über die Verfahrenskosten und eine allfällige Parteient-schädigung.</w:t>
      </w:r>
    </w:p>
    <w:p>
      <w:r>
        <w:rPr>
          <w:b/>
        </w:rPr>
        <w:t>E. 10.1</w:t>
      </w:r>
    </w:p>
    <w:p>
      <w:r>
        <w:t>Ausgangsgemäss hat der Beschwerdeführer die Kosten für das Be-schwerdeverfahren vor dem Bundesverwaltungsgericht zu tragen (Art. 63 Abs. 1 VwVG). Diese sind auf Fr. 700.- festzusetzen (Art. 2 Abs. 1 i.V.m. Art. 4 des Reglements vom 21. Februar 2008 über die Kosten und Entschädigungen vor dem Bundesverwaltungsgericht [VGKE; SR 173.320.2]). Der einbezahlte Kostenvorschuss in gleicher Höhe ist zur Bezahlung der Verfahrenskosten zu verwenden.</w:t>
      </w:r>
    </w:p>
    <w:p>
      <w:r>
        <w:rPr>
          <w:b/>
        </w:rPr>
        <w:t>E. 10.2</w:t>
      </w:r>
    </w:p>
    <w:p>
      <w:r>
        <w:t>Weder dem nicht anwaltlich vertretenen Beschwerdeführer noch der Vorinstanz ist eine Parteientschädigung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