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C-2225/2008 vom 12. März 2012</w:t>
      </w:r>
    </w:p>
    <w:p>
      <w:r>
        <w:t>Bundesverwaltungsgericht, 2012-03-12, DE</w:t>
      </w:r>
    </w:p>
    <w:p>
      <w:r>
        <w:rPr>
          <w:b/>
        </w:rPr>
        <w:t xml:space="preserve">Quelle: </w:t>
      </w:r>
      <w:r>
        <w:t>https://mcp.opencaselaw.ch/entscheid/bvger_C-2225_2008</w:t>
      </w:r>
    </w:p>
    <w:p>
      <w:r>
        <w:t>FR: TAF C-2225/2008 du 12 mars 2012</w:t>
      </w:r>
    </w:p>
    <w:p>
      <w:r>
        <w:t>IT: TAF C-2225/2008 del 12 marzo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Bundesverwaltungsgericht endgültig (Art. 83 Bst. c Ziff. 2 und Ziff.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Am 1. Januar 2008 traten das neue Bundesgesetz vom 16. De­zem­ber 2005 über die Ausländerinnen und Ausländer (Ausländergesetz,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ohne Belang ist, ob das Verfahren auf Gesuch hin - so explizit Art. 126 Abs. 1 AuG - oder von Amtes wegen eröffnet wurde (vgl. BVGE 2008/1 E. 2 mit Hinweisen). Die kantonale Migrationsbehörde leitete das Verfahren am 7. Dezember 2007 und damit vor Inkrafttreten des neuen Rechts ein. Insoweit bleibt für die vorliegende Streitsache das alte materielle Recht massgebend. Einschlägig sind dabei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Die Wegweisung des Beschwerdeführers aus der Schweiz und der Wegweisungsvollzug dagegen unterstehen bereits dem neuen Recht, denn das entsprechende Verfahren vor der Vorinstanz wurde erst nach dem Inkrafttreten des neuen Rechts eingeleitet (vgl. Urteil des Bundesverwaltungsgerichts C-5810/2009 vom 27. Dezember 2011 E. 1.2 mit Hinweisen). Im Übrigen gilt, dass grundsätzlich das neue Ver­fahrens- und Organisationsrecht zur Anwendung gelangt (Art. 126 Abs. 2 AuG). Nachdem die zuständige Behörde des Kantons Basel-Stadt dem BFM den vorliegenden Fall betreffend Verlängerung der Aufenthaltsbewilligung zur Zustimmung unterbreitet hatte, verweigerte die Vorinstanz mit Verfügung vom 28. Februar 2008 ihre Zustimmung. Dabei wendete das BFM anstatt die Bestimmungen des ANAG irrtümlicherweise das neue materielle Recht (AuG) an. Da das neuere Recht jedoch in casu für den Beschwerdeführer günstiger ist, sind ihm dadurch - wie auch die Vorinstanz in ihrer Vernehmlassung vom 13. Mai 2008 richtig festhält - keine Nachteile erwachsen.</w:t>
      </w:r>
    </w:p>
    <w:p>
      <w:r>
        <w:rPr>
          <w:b/>
        </w:rPr>
        <w:t>E. 3.2</w:t>
      </w:r>
    </w:p>
    <w:p>
      <w:r>
        <w:t>Gemäss Art. 126 Abs. 2 AuG richtet sich das Verfahren mit dem Inkrafttreten des AuG nach neuem Recht. Als Teil des formellen Rechts umfasst das Verfahrensrecht diejenigen Bestimmungen, die das Zustandekommen und die Anfechtung von Verfügungen regeln (vgl. Ulrich Häfelin/Georg Müller/Felix Uhlmann, Allgemeines Verwaltungsrecht, 6. Aufl., Zürich/St. Gallen 2010, Rz. 1611), wozu unter anderem auch Zuständigkeitsnormen zu zählen sind (vgl. Alfred Kölz/Isabelle Häner, Verwaltungsverfahren und Verwaltungsrechtspflege des Bundes, 2. Aufl., Zürich 1998, Rz. 82; vgl. Urteil des Bundesverwaltungsgerichts C-6170/2008 vom 18. Januar 2012 E. 2.2).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Häfelin/Müller/Uhlmann, a.a.O., Rz. 340). Diese neue Zuständigkeitsordnung entspricht im Übrigen derjenigen unter dem alten Recht (vgl. Urteil des Bundesverwaltungsgerichts C-1872/2007 vom 20. September 2007 E. 3.1 sowie nachstehende Erwägung 3.3.).</w:t>
      </w:r>
    </w:p>
    <w:p>
      <w:r>
        <w:rPr>
          <w:b/>
        </w:rPr>
        <w:t>E. 3.3</w:t>
      </w:r>
    </w:p>
    <w:p>
      <w:r>
        <w:t>Die Kantone sind zuständig für die Erteilung und Verlängerung von Bewilligungen (vgl. Art. 15 Abs. 1 und 18 ANAG sowie Art. 51 der Verordnung vom 6. Oktober 1986 über die Begrenzung der Zahl der Ausländer [Begrenzungsverordnung, BVO, AS 1986 1791]). Vorbehalten bleibt jedoch die Zustimmung durch das BFM. Das Zustimmungserfordernis ergibt sich im vorliegenden Fall aus Art. 1 Abs. 1 Bst. a der Verordnung vom 20. April 1983 über das Zustimmungsverfahren im Ausländerrecht (Zustimmungsverordnung, AS 1983 535) in Verbindung mit den Weisungen und Erläuterungen des BFM über Einreise, Aufenthalt und Arbeitsmarkt (ANAG-Weisungen, 3. Auflage, Bern, Mai 2006). Letztere sehen in Ziffer 132.4 Bst. f vor, dass die Verlängerung der Aufenthaltsbewilligung eines Ausländers oder einer Ausländerin nach der Auflösung der ehelichen Gemeinschaft mit einem ausländischen Ehegatten oder nach dessen Tod dem BFM zur Zustimmung zu unterbreiten ist, falls der Ausländer oder die Ausländerin nicht aus einem Mitgliedstaat der EFTA oder der EG stammt. Ziffer 132.4 Bst. b der genannten Weisungen sieht schliesslich die Unterbreitung zur Zustimmung vor, wenn das BFM 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ansonsten ist sie ungültig. Die Kompetenz des BFM ist im vorliegenden Fall gegeben (zum Ganzen vgl. BGE 130 II 49 E. 2.1, BGE 127 II 49 E. 3, BGE 120 Ib 6 E. 3a; Verwaltungspraxis der Bundesbehörden [VPB] 69.78 E. 12, 70.23 E. 10).</w:t>
      </w:r>
    </w:p>
    <w:p>
      <w:r>
        <w:rPr>
          <w:b/>
        </w:rPr>
        <w:t>E. 4.1</w:t>
      </w:r>
    </w:p>
    <w:p>
      <w:r>
        <w:t>Laut Art. 17 Abs. 2 ANAG hat der Ehegatte eines Ausländers mit Niederlassungsbewilligung Anspruch auf Erteilung und Verlängerung der Aufenthaltsbewilligung, solange die Ehegatten zusammen wohnen. Nach einem ordnungsgemässen und ununterbrochenen Aufenthalt von fünf Jahren hat der Ehegatte ebenfalls Anspruch auf eine Niederlassungsbewilligung. Die am 19. April 2001 geschlossene Ehe wurde nach vier Jahren und knapp drei Monaten, am 15. Juli 2005 geschieden. Das eheliche Zusammenleben in der Schweiz dauerte laut Angaben der damaligen Ehefrau im Scheidungsurteil vom 15. Juli 2005 keine drei Jahre. Gemäss den diesbezüglichen Angaben des Beschwerdeführers dauerte das eheliche Zusammenleben gar nur zwei Jahre. Die kantonalen Akten enthalten indessen widersprüchliche Angaben, welche auf Mitte oder Ende 2004 hinweisen. Laut Beschwerdeschrift dauerte die gelebte Ehe bis Ende 2004, was drei Jahre und viereinhalb Monate ergibt. Keine dieser zeitlichen Angaben vermag die altrechtlich geforderte Dauer des Zusammenwohnens von fünf Jahren zu erfüllen.</w:t>
      </w:r>
    </w:p>
    <w:p>
      <w:r>
        <w:rPr>
          <w:b/>
        </w:rPr>
        <w:t>E. 4.2</w:t>
      </w:r>
    </w:p>
    <w:p>
      <w:r>
        <w:t>Die Ehe wurde in jedem Fall aufgelöst, bevor dem Beschwerdeführer gestützt auf Art. 17 Abs. 2 Satz 2 ANAG ein zivilstandsunabhängiger Anspruch auf Verlängerung seiner Aufenthaltsbewilligung erwachsen konnte (vgl. BGE 128 II 145 E. 1.1.4 mit Hinweisen). Eine andere Anspruchsgrundlage des Landes- und Völkerrechts besteht nicht. Eine solche kann namentlich nicht in Art. 50 AuG erblickt werden, der zwar neue Ansprüche auf Verlängerung nach Auflösung der Ehe schafft, auf die vorliegende Streitsache jedoch wegen der intertemporalen Unterstellung unter das alte Recht nicht anwendbar ist (vgl. oben E. 3.1,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ferner Entscheid des EJPD vom 15.0 April 2005 E. 12 in: Verwaltungspraxis der Bundesbehörden [VPB] 69.76).</w:t>
      </w:r>
    </w:p>
    <w:p>
      <w:r>
        <w:rPr>
          <w:b/>
        </w:rPr>
        <w:t>E. 5.1</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Häfelin/Müller/Uhlmann, a.a.O., Rz. 564 ff.).</w:t>
      </w:r>
    </w:p>
    <w:p>
      <w:r>
        <w:rPr>
          <w:b/>
        </w:rPr>
        <w:t>E. 5.2</w:t>
      </w:r>
    </w:p>
    <w:p>
      <w:r>
        <w:t>Was das öffentliche Interesse anbelangt, ist festzuhalten, dass die Schweiz hinsichtlich des Aufenthaltes von Ausländerinnen und Ausländern aus dem Nicht-EU/EFTA-Raum (nachfolgend Drittstaatsangehörige) eine restriktive Einwanderungspolitik betreibt (vgl. BGE 137 I 247 E. 4.1.2). Diese migrationspolitischen Ziele finden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Aufgabe des ehelichen Zusammenwohnens, das sie von den restriktiven qualitativen und quantitativen Zulassungsvoraussetzungen der Begrenzungsverordnung ausnimmt, muss die ausländische Person dieses öffentliche Interesse grundsätzlich wieder gegen sich gelten lassen, auch wenn sie gemäss Art. 12 Abs. 2 letzter Satz BVO den Höchstzahlen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das Urteil des Bundesverwaltungsgerichts C-2524/2007 vom 13. August 2010 E. 4.1 mit Hinweisen).</w:t>
      </w:r>
    </w:p>
    <w:p>
      <w:r>
        <w:rPr>
          <w:b/>
        </w:rPr>
        <w:t>E. 5.3</w:t>
      </w:r>
    </w:p>
    <w:p>
      <w:r>
        <w:t>Unter dem Gesichtspunkt der Verhältnismässigkeit ist demzufolge zu prüfen, ob das private Interesse des Beschwerdeführers an einem weiteren Verbleib in der Schweiz höher zu gewichten ist als das öffentliche Interesse an der dargelegten restriktiven Ausländerpolitik. In Bezug auf die privaten Interessen ist zu untersuchen, ob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 zu stellen. Dazu gehören einerseits allgemeine, von der Ehe unabhängige Elemente, wie die Dauer des Aufenthalts in der Schweiz, der Grad der sozialen und wirtschaftlichen Integration in die hiesigen Verhältnisse, das Alter und der gesundheitliche Zustand. Sind Kinder vorhanden, ist deren Alter und schulische Integration mit einzubeziehen. Zu berücksichtigen sind auch die Unterkunft und die Reintegrationsmöglichkeiten in der Heimat. Andererseits sind auch ehespezifische Elemente, wie die Dauer der Ehe und die Umstände, die zur Trennung geführt haben, zu beachten (vgl. Urteil des Bundesverwaltungsgerichts C-5358/2007 vom 29. Juli 2010 E. 4.2; ferner: Ziff. 654 ANAG-Weisungen).</w:t>
      </w:r>
    </w:p>
    <w:p>
      <w:r>
        <w:rPr>
          <w:b/>
        </w:rPr>
        <w:t>E. 5.4</w:t>
      </w:r>
    </w:p>
    <w:p>
      <w:r>
        <w:t>Die notwendige Schwere der Betroffenheit in den persönlichen Verhältnissen ist mit Blick auf die Regelung des Art. 17 Abs. 2 Satz 2 ANAG zu beurteilen. Diese Bestimmung vermittelt ausländischen Ehegatten von Ausländern mit Niederlassungsbewilligung nach fünf Jahren ordnungsgemässen und ununterbrochenen Zusammenlebens in der Schweiz einen vom weiteren Zusammenwohnen unabhängigen Anspruch auf Aufenthalt. Trennt sich das Ehepaar vor Ablauf von fünf Jahren, kommt es darauf an, welche Bedeutung den ehespezifischen Elementen im konkreten Einzelfall zukommt. Je mehr diese Elemente ins Gewicht fallen, um so eher wird man von einer hinreichend schweren Betroffenheit ausgehen können. Umgekehrt rechtfertigt sich ein umso strengerer Massstab, als sich die Härtesituation gerade nicht aus den oben genannten ehespezifischen Elementen ableiten lässt (vgl. Urteil des Bundesverwaltungsgerichts C-5358/2007 vom 29. Juli 2010 E. 4.3).</w:t>
      </w:r>
    </w:p>
    <w:p>
      <w:r>
        <w:rPr>
          <w:b/>
        </w:rPr>
        <w:t>E. 6.1</w:t>
      </w:r>
    </w:p>
    <w:p>
      <w:r>
        <w:t>Die kinderlos gebliebene Ehe des Beschwerdeführers dauerte vier Jahre und knapp drei Monate, wobei das eheliche Zusammenleben bereits nach zwei Jahren und elf Monaten definitiv aufgegeben wurde. Über die Beziehung vor der Ehe ist nichts bekannt, doch scheint sie auf Wunsch der Eltern geschlossen worden zu sein. Von Beginn an war das Eheleben mit Schwierigkeiten verbunden. Trotz Bemühungen konnten die Ehegatten ihre Differenzen nicht bereinigen. Die Ehe war alsbald zerrüttet, weshalb die Lebensgemeinschaft nicht weiter aufrechterhalten wurde. Die vergleichsweise kurze Dauer des Zusammenlebens von zwei Jahren und elf Monaten kann nicht als derart lang bezeichnet werden, dass sie im Sinne der vorstehenden Erwägungen besondere Berücksichtigung einfordern würde. Ebenso verhält es sich mit den Begleitumständen des Scheiterns seiner Ehe. Auch diesen kann nichts entnommen werden, was die Anforderungen an die Betroffenheit in den persönlichen Verhältnissen senken könnte. Somit rechtfertigt sich ein vergleichsweise strenger Massstab bei der Gewichtung der privaten Interessen an einem weiteren Verbleib in der Schweiz (vgl. Urteil des Bundesverwaltungsgerichts C-546/2006 vom 14. August 2008 E. 9.1 und 9.4).</w:t>
      </w:r>
    </w:p>
    <w:p>
      <w:r>
        <w:rPr>
          <w:b/>
        </w:rPr>
        <w:t>E. 6.2</w:t>
      </w:r>
    </w:p>
    <w:p>
      <w:r>
        <w:t>Der Beschwerdeführer hält sich seit über zehn Jahren in der Schweiz auf. Er ist als Bauarbeiter tätig und ist gemäss Arbeitsvertrag seit dem 1. Februar 2008 im Genuss einer Festanstellung. Am Arbeitsplatz wird er geschätzt, hat inzwischen den Führerschein zum Stapelfahrer erlangt und bildet sich seit Januar 2012 intern zum Bohrmeister weiter. Sein Erwerbseinkommen gestattet ihm, für den Lebensunterhalt ohne Inanspruchnahme von Sozialhilfe aufzukommen. Gemäss Betreibungsregisterauszug ist er schuldenfrei und kommt seinen finanziellen Verpflichtungen, mit Ausnahme eines seinerzeitigen finanziellen Engpasses nach. Was die sprachliche Integration angeht, weist der Beschwerdeführer in einem Schreiben vom 21. November 2007 (vgl. kantonale Akten) darauf hin, dass er einen Deutschkurs belegt habe, gute mündliche Kenntnisse der deutschen Sprache besitze, seine schriftlichen Kenntnisse indessen weniger gut seien. In eben diesem Schreiben erwähnt der Beschwerdeführer seine neue aus seiner Heimat stammende Lebensgefährtin, welche er habe heiraten müssen, um sie in die Schweiz zu holen. Seine sozialen Kontakte beschränken sich nach eigenen Angaben auf seine Arbeitskollegen. Es fällt auch auf, dass er - anders als behauptet - einen starken Bezug zu seiner Heimat hat. So ist er wiederum mit einer Landsfrau verheiratet, welche derzeit dort lebt. Es kann folglich davon ausgegangen werden, dass er regelmässig in seine Heimat zurückkehrt, um seine Ehefrau zu besuchen. Mit ihr sowie seinen Eltern leben die nächsten Bezugspersonen nicht etwa in der Schweiz, sondern in Serbien. Angesichts dieses starken Bezugs zur Heimat sowie den in Serbien üblichen Familienstrukturen ist vom Bestehen eines soliden Beziehungsnetzes auszugehen, wozu nunmehr auch die Familie seiner heutigen Ehefrau gehört. Auf diesen eher grossen sozialen Rückhalt wird er bei einer Rückkehr abstellen können.</w:t>
      </w:r>
    </w:p>
    <w:p>
      <w:r>
        <w:rPr>
          <w:b/>
        </w:rPr>
        <w:t>E. 6.3</w:t>
      </w:r>
    </w:p>
    <w:p>
      <w:r>
        <w:t>Die Integrationsbemühungen des Beschwerdeführers - insbesondere die beruflichen - verdienen Anerkennung, gehen jedoch nicht über das hinaus, was von jeder ausländischen Person mit vergleichbarem Aufenthalt verlangt werden kann und muss. Darüber hinaus werden weder besonders engen Beziehungen zur Schweiz geltend gemacht, noch sind solche aus den Akten ersichtlich, deren Abbruch zu einer massgeblichen Härte führen könnte. Vielmehr führt die vorliegende Beurteilung zum Ergebnis, dass die sozialen Bindungen zur Heimat stärker sein dürften als jene zur Schweiz. In Anbetracht der Tatsache, dass der Beschwerdeführer seine Heimat erst im Alter von 23 Jahren verlassen hat und daher nicht nur mit den Verhältnissen dort bestens vertraut ist, sondern nunmehr mit einer dort lebenden Landsfrau verheiratet ist und über ein gewachsenes verwandtschaftliches und soziales Beziehungsnetz verfügt, deutet somit nichts darauf hin, dass einer Wiedereingliederung in Serbien unüberwindbare Hindernisse entgegenstehen könnten. Dabei wird vom Bundesverwaltungsgericht nicht in Abrede gestellt, dass der Beschwerdeführer bei seiner Rückkehr in wirtschaftlicher Hinsicht eine schwierige Situation vorfinden wird, die ihm die berufliche Wiedereingliederung nicht leicht machen dürfte. Es ist aber davon auszugehen, dass ihm bei der Stellensuche seine langjährige Berufserfahrung in der Schweiz sowie die hierzulande erworbenen Sprachkenntnisse von Nutzen sein werden und es ihm deshalb möglich sein wird, sich mit Hilfe seines Beziehungsnetzes wieder einzugliedern.</w:t>
      </w:r>
    </w:p>
    <w:p>
      <w:r>
        <w:rPr>
          <w:b/>
        </w:rPr>
        <w:t>E. 6.4</w:t>
      </w:r>
    </w:p>
    <w:p>
      <w:r>
        <w:t>Der Beschwerdeführer ist strafrechtlich nie negativ in Erscheinung getreten. Gleichwohl kann sein Leumund nicht als makellos bezeichnet werden. So hat er in Missachtung seiner Mitwirkungspflichten die Behörden bis 2007 nicht über seinen zivilrechtlichen Status informiert und diese somit im Glauben gelassen, er sei noch verheiratet. Auf diese Weise erlangte er einen Aufenthaltstitel ohne die entsprechende Berechtigung dazu.</w:t>
      </w:r>
    </w:p>
    <w:p>
      <w:r>
        <w:rPr>
          <w:b/>
        </w:rPr>
        <w:t>E. 6.5</w:t>
      </w:r>
    </w:p>
    <w:p>
      <w:r>
        <w:t>Aus diesen Erwägungen geht hervor, dass der Beschwerdeführer zur Schweiz keine so starke Bindung aufgebaut hat, dass ihm die Aufgabe des Aufenthalts in der Schweiz und die Rückkehr in sein Herkunftsland nicht zugemutet werden könnten. Dies auch vor dem Hintergrund, dass seine erste Ehe kinderlos blieb und der Gesundheitszustand des Beschwerdeführers einer Rückkehr offenbar nicht entgegen steht.</w:t>
      </w:r>
    </w:p>
    <w:p>
      <w:r>
        <w:rPr>
          <w:b/>
        </w:rPr>
        <w:t>E. 7</w:t>
      </w:r>
    </w:p>
    <w:p>
      <w:r>
        <w:t>Eine wertende Gewichtung der sich gegenüber stehenden Interessen führt das Bundesverwaltungsgericht zum Schluss, dass unter den gegebenen Umständen das private Interesse des Beschwerdeführers an der weiteren fremdenpolizeilichen Regelung seines Aufenthaltes in der Schweiz gegenüber dem öffentlichen Interesse an der Durchsetzung der restriktiven Migrationspolitik zurückzustehen hat. Die Verweigerung der Zustimmung der Vorinstanz ist deshalb - entgegen der Vorbringen des Beschwerdeführers - als verhältnismässige und angemessene Massnahme zu bestätigen.</w:t>
      </w:r>
    </w:p>
    <w:p>
      <w:r>
        <w:rPr>
          <w:b/>
        </w:rPr>
        <w:t>E. 8</w:t>
      </w:r>
    </w:p>
    <w:p>
      <w:r>
        <w:t>Aus der Rechtmässigkeit der Zustimmungsverweigerung folgt ohne Weiteres die Rechtmässigkeit der Wegweisung des Beschwerdeführers (vgl. Art. 64 Abs. 1 Bst. c AuG). Es bleibt zu prüfen, ob dem Vollzug der Wegweisung Hindernisse entgegenstehen, ob namentlich eine Rückkehr des Beschwerdeführers in die Heimat wegen der dortigen Situation oder aus gesundheitlichen Gründen mit einer konkreten Gefahr verbunden und der Vollzug daher unzumutbar wäre (Art. 83 Abs. 4 AuG). Umstände, die den Vollzug der Wegweisung als unzulässig, unzumutbar oder unmöglich erscheinen liessen, sind aus den Akten keine ersichtlich. Die angefochtene Verfügung erweist sich daher auch diesbezüglich als rechtmässig.</w:t>
      </w:r>
    </w:p>
    <w:p>
      <w:r>
        <w:rPr>
          <w:b/>
        </w:rPr>
        <w:t>E. 9</w:t>
      </w:r>
    </w:p>
    <w:p>
      <w:r>
        <w:t>Zusammenfassend ist festzuhalten, dass die angefochtene Verfügung im Ergebnis nicht zu beanstanden ist. Die Beschwerde ist demzufolge abzuweisen.</w:t>
      </w:r>
    </w:p>
    <w:p>
      <w:r>
        <w:rPr>
          <w:b/>
        </w:rPr>
        <w:t>E. 10</w:t>
      </w:r>
    </w:p>
    <w:p>
      <w:r>
        <w:t>Entsprechend dem Ausgang des Verfahrens sind dem Beschwerdeführer die Kosten aufzuerlegen (vgl.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