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C-221/2009 vom 22. September 2009</w:t>
      </w:r>
    </w:p>
    <w:p>
      <w:r>
        <w:t>Bundesverwaltungsgericht, 2009-09-22, FR</w:t>
      </w:r>
    </w:p>
    <w:p>
      <w:r>
        <w:rPr>
          <w:b/>
        </w:rPr>
        <w:t xml:space="preserve">Quelle: </w:t>
      </w:r>
      <w:r>
        <w:t>https://mcp.opencaselaw.ch/entscheid/bvger_C-221_2009</w:t>
      </w:r>
    </w:p>
    <w:p>
      <w:r>
        <w:t>FR: TAF C-221/2009 du 22 septembre 2009</w:t>
      </w:r>
    </w:p>
    <w:p>
      <w:r>
        <w:t>IT: TAF C-221/2009 del 22 settembre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la police des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in FF 2002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(au nombre desquels figure l'Accord du 26 octobre 2004 entre la Confédération suisse, l'Union européenne et la Communauté européenne sur l'association de la Confédération suisse à la mise en ?uvre, à l'application et au développement de l'acquis de Schengen [AAS, RS 0.360.268.1]) sont effectivement entrés en vigueur pour la Suisse le 12 décembre 2008. En vue de la mise en oeuvre des accords d'association à Schengen, le législateur a donc dû procéder à des adaptations correspondantes dans la LEtr (cf. en particulier art. 2 al. 4 LEtr, selon lequel les dispositions sur la procédure en matière de visa ainsi que sur l'entrée en Suisse et la sortie de Suisse ne s'appliquent que dans la mesure où les accords d'association à Schengen ne contiennent pas de dispositions divergentes). En outre,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Selon l'art. 57 OEV, le nouveau droit s'applique aux procédures pendantes à la date de l'entrée en vigueur de l'OEV.</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5.2</w:t>
      </w:r>
    </w:p>
    <w:p>
      <w:r>
        <w:t>Les conditions d'entrée prévues par le code frontières Schengen correspondent, pour l'essentiel, à celles posées à l'art. 5 al. 1 let. a à d LEtr. L'obligation faite à l'étranger de justifier l'objet et les conditions du séjour envisagé, telle que contenue à l'art. 5 par. 1 let. c du code frontières Schengen, n'est pas explicitement mentionnée à l'art. 5 al. 1 LEtr. L'art. 5 al. 2 LEtr exige en revanche de l'étranger qui prévoit un séjour temporaire en Suisse d'apporter la garantie qu'il quittera ce pays. Cette condition, ancrée dans le droit national, ne constitue toutefois pas une exigence supplémentaire et n'entre pas en contradiction avec le code frontières Schengen. En effet, l'indication de l'objet du séjour temporaire envisagé constitue de fait une déclaration d'intention de quitter le pays une fois le but de ce séjour atteint. Partant, en cas d'indications contradictoires ou invraisemblables sur l'objet du séjour, il y aura lieu de conclure que le requérant n'est pas disposé à quitter l'Espace Schengen à l'échéance du séjour projeté. C'est dans ce sens également que vont les Instructions consulaires communes du 22 décembre 2005 adressées aux représentations diplomatiques et consulaires de carrière (ICC, JO 2005 C 326 p. 1-149). Les ICC exigent en particulier que soit évalué le risque migratoire; il convient en ce sens d'examiner si le requérant cherche "à pénétrer et à s'établir dans le territoire des Etats membres sous le couvert de visa pour tourisme, affaires, études, travail ou visite à des parents" (C 326 p. 10). L'Annexe I du code frontières Schengen contient au surplus une liste non exhaustive des pièces justificatives nécessaires à démontrer l'objet et les conditions du séjour envisagé au sens de l'art. 5 par. 1 let. c du code précité.</w:t>
      </w:r>
    </w:p>
    <w:p>
      <w:r>
        <w:rPr>
          <w:b/>
        </w:rPr>
        <w:t>E. 5.3</w:t>
      </w:r>
    </w:p>
    <w:p>
      <w:r>
        <w:t>Au vu des considérations qui précèdent, l'examen de l'objet et des conditions du séjour envisagé au sens de l'art. 5 par. 1 let. c du code frontières Schengen correspond à l'examen de la garantie de sortie de Suisse au sens de l'art. 5 al. 2 LEtr. Aussi la pratique et la jurisprudence appliquées à cette dernière disposition peuvent-elles être reprises.</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 cubain, B._______ est soumis à l'obligation du visa.</w:t>
      </w:r>
    </w:p>
    <w:p>
      <w:r>
        <w:rPr>
          <w:b/>
        </w:rPr>
        <w:t>E. 7</w:t>
      </w:r>
    </w:p>
    <w:p>
      <w:r>
        <w:t>Dans la décision attaquée, rendue en application de l'art. 5 LEtr, l'ODM a refusé d'autoriser l'intéressé à entrer en Suisse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 est disposé à quitter l'Espace Schengen à l'échéance de son séjour ou s'il apparaît, au contraire, qu'il cherche à pénétrer et à s'établir dans le territoire des Etats membres sous le couvert d'un visa pour visite familiale et touristique. Afin de déterminer si l'étranger présente les garanties nécessaires à sa sortie de Suisse, l'autorité se base, d'une part, sur la situation politique, sociale et économique prévalant dans le pays de provenance de l'intéressé et, d'autre part, sur sa situation personnelle, familiale et professionnelle. En l'occurrence, il faut prendre en considération la situation socio-économique peu favorable prévalant à Cuba, ainsi que les disparités économiques importantes existant entre ce pays et la Suisse. En 2008, le PIB par habitant était ainsi de 6 026 USD (cf. site du Ministère des affaires étrangères et européennes de la République française www.diplomatie.gouv.fr &gt; Pays - zone géo &gt; Cuba &gt; Présentation de Cuba, mis à jour le 6 juillet 2009, visité en septembre 2009). Ces conditions économiques difficiles peuvent s'avérer décisives lorsqu'une personne prend la décision de quitter sa patrie, en ce sens qu'elles ne sont pas sans exercer une pression migratoire importante sur la population, cette tendance étant encore renforcée, comme l'expérience l'a démontré, lorsque la personne concernée peut s'appuyer à l'étranger sur un réseau social (parents, amis) préexistant, comme c'est le cas en l'occurrence. Une demande d'autorisation d'entrée pour tourisme ou visite peut ainsi représenter un moyen détourné de faciliter la venue en Suisse de personnes désirant en réalité s'y établir durablement.</w:t>
      </w:r>
    </w:p>
    <w:p>
      <w:r>
        <w:rPr>
          <w:b/>
        </w:rPr>
        <w:t>E. 8</w:t>
      </w:r>
    </w:p>
    <w:p>
      <w:r>
        <w:t>L'autorité ne saurait toutefois se fonder sur la seule situation régnant dans le pays d'origine du requérant, mais doit également prendre en considération les particularités du cas d'espèce. Ainsi, si un invité assume dans son pays d'origine d'importantes responsabilités, tant au plan professionnel, social que familial, on pourra établir un pronostic favorable quant à son départ de la Suisse à l'issue de la validité de son visa. Au contraire, si un invité n'a pas d'obligations significatives dans son pays, on considère comme élevé le risque d'un comportement contraire aux prescriptions de police des étrangers. En l'occurrence, sans pour autant minimiser les raisons d'ordre amical qui motivent sa demande, le Tribunal ne saurait admettre, au vu de l'ensemble des éléments du dossier, que le retour de B._______ à Cuba au terme de l'autorisation demandée puisse être considéré comme suffisamment garanti. Ainsi qu'il ressort des renseignements qui ont été communiqués aux autorités suisses dans le cadre de la présente affaire, l'intéressé est une personne jeune, célibataire et sans charge de famille. Il serait donc à même de se créer une nouvelle existence hors de sa patrie, sans que cela n'entraîne pour lui de difficulté majeure sur le plan personnel. Il convient de rappeler à ce propos que les conditions d'existence difficiles auxquelles la population est confrontée à Cuba ne sont pas sans exercer une pression migratoire importante, en particulier chez les jeunes. En l'espèce, les craintes émises par l'autorité inférieure de voir le requérant prolonger son séjour en Suisse ne sont pas contrebalancées par des obligations familiales ou par de fortes attaches professionnelles à Cuba propres à garantir le départ de Suisse de l'intéressé, dès lors qu'il n'a pas de formation et est sans emploi. Il s'impose de souligner par ailleurs que les ressortissants cubains qui ont effectué un séjour à l'étranger de plus de onze mois ne sont plus autorisés, selon les dispositions en vigueur dans leur pays et en l'état actuel des connaissances du Tribunal, à y retourner (cf. à ce sujet Michael Kirschner, Kuba, Legale und illegale Aus- und Einreise, Schweizerische Flüchtlingshilfe, Bern 2006; arrêt du Tribunal administratif fédéral C-1732/2007 du 1er avril 2008). Cela signifie que si B._______ choisissait de prolonger indûment son séjour en Suisse, l'organisation de son éventuel rapatriement à Cuba s'en trouverait singulièrement compliquée. Il est par ailleurs nécessaire de rappeler qu'au vu du nombre important de demandes de visa et du risque que la personne bénéficiant d'un visa d'entrée ne quitte pas la Suisse au terme de son séjour, les autorités ont été amenées à adopter une politique d'admission très restrictive et, par conséquent, à procéder à une sévère limitation du nombre d'acceptations des requêtes visant à l'octroi d'une autorisation d'entrée. Pareilles considérations ne sont ainsi pas sans avoir une incidence importante dans l'appréciation du cas particulier. En conséquence, le désir du prénommé de venir passer deux mois de vacances en Suisse auprès de son ami A._______, certes compréhensible, ne constitue pas un motif justifiant l'octroi d'un visa.</w:t>
      </w:r>
    </w:p>
    <w:p>
      <w:r>
        <w:rPr>
          <w:b/>
        </w:rPr>
        <w:t>E. 9</w:t>
      </w:r>
    </w:p>
    <w:p>
      <w:r>
        <w:t>Il importe de préciser ici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seule la maîtrise de son comportement - et ne permettent nullement d'exclure l'éventualité que l'intéressé, une fois en Suisse, ne tente d'y poursuivre durablement son existence (cf. arrêt du Tribunal fédéral 6S.281/2005 du 30 septembre 2005). De même, l'expérience a démontré à de nombreuses reprises que les déclarations d'intention formulées quant à la sortie ponctuelle de la personne invitée à l'échéance du visa, de même que les garanties financières offertes par l'hôte, ne suffisaient pas non plus à garantir le départ d'un ressortissant étranger dans les délais prévus, ces dernières n'emportant aucun effet juridique (cf. Jurisprudence des autorités administratives de la Confédération [JAAC] 57.24 et arrêt du TAF C-3670/2008 du 30 avril 2009 consid. 8). Il convient enfin de remarquer que le refus d'autorisation d'entrée prononcé par les autorités helvétiques n'a pas pour conséquence d'empêcher le recourant de maintenir des relations avec son invité, dès lors que les intéressés peuvent se rencontrer hors de Suisse, soit notamment à Cuba, comme il l'ont déjà fait à plusieurs reprises par le passé.</w:t>
      </w:r>
    </w:p>
    <w:p>
      <w:r>
        <w:rPr>
          <w:b/>
        </w:rPr>
        <w:t>E. 10</w:t>
      </w:r>
    </w:p>
    <w:p>
      <w:r>
        <w:t>S'agissant du grief implicite d'inégalité de traitement soulevé par le recourant en relation avec les visas d'entrée en Suisse délivrés à d'autres étrangers, le TAF se trouve dans l'impossibilité d'apprécier le bien-fondé de cette argumentation, compte tenu de son caractère général. Le Tribunal souligne cependant qu'en matière de délivrance d'autorisations d'entrée en Suisse, les spécificités de la cause, en particulier la situation personnelle de l'invité (soit ses attaches familiales et professionnelles sur place ainsi que ses antécédents), sont déterminantes dans le cadre de la pesée des intérêts à laquelle les autorités helvétiques sont tenues de procéder, de sorte qu'il est très difficile d'établir des comparaisons entre plusieurs affaires (dans le même sens, arrêts du Tribunal fédéral 2A.305/2006 du 2 août 2006 consid. 5.3 et 2A.199/2006 du 2 août 2006 consid. 4.2 in fine, rendus en matière d'exception aux mesures de limitation du nombre des étrangers; voir également arrêt du Tribunal administratif fédéral C-7306/2007 du 2 septembre 2008 ). Au demeurant, il sied de relever que nul ne saurait invoquer le principe d'égalité de traitement pour bénéficier d'une faveur illégalement accordée à un tiers, en particulier lorsque rien ne permet de penser que l'autorité compétente persistera dans sa pratique illégale, ainsi que le Tribunal fédéral a eu l'occasion de le préciser (cf. ATF 134 V 34 consid. 9, 127 II 113 consid. 9). Au vu de ce qui précède, c'est en vain que le recourant se plaint d'une inégalité de traitement. En conséquence, au vu de l'ensemble des circonstances du cas d'espèce, le Tribunal estime qu'il ne saurait être reproché à l'ODM d'avoir considéré que le départ de B._______ à l'échéance du visa requis n'était pas suffisamment assuré et, partant, d'avoir refusé la délivrance d'une autorisation d'entrée en sa faveur.</w:t>
      </w:r>
    </w:p>
    <w:p>
      <w:r>
        <w:rPr>
          <w:b/>
        </w:rPr>
        <w:t>E. 11</w:t>
      </w:r>
    </w:p>
    <w:p>
      <w:r>
        <w:t>Il ressort de ce qui précède que la décision de l'ODM du 11 décembre 2008 est conforme au droit.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