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C-2218/2011 vom 3. Juli 2012</w:t>
      </w:r>
    </w:p>
    <w:p>
      <w:r>
        <w:t>Bundesverwaltungsgericht, 2012-07-03, FR</w:t>
      </w:r>
    </w:p>
    <w:p>
      <w:r>
        <w:rPr>
          <w:b/>
        </w:rPr>
        <w:t xml:space="preserve">Quelle: </w:t>
      </w:r>
      <w:r>
        <w:t>https://mcp.opencaselaw.ch/entscheid/bvger_C-2218_2011</w:t>
      </w:r>
    </w:p>
    <w:p>
      <w:r>
        <w:t>FR: TAF C-2218/2011 du 3 juillet 2012</w:t>
      </w:r>
    </w:p>
    <w:p>
      <w:r>
        <w:t>IT: TAF C-2218/2011 del 3 luglio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ATF 130 V 445 consid. 1.2 et les références). Les dispositions de la 5e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 si nécessaire. Ne sont en revanche pas applicables les dispositions de la 6e révision de la LAI (premier volet) en vigueur depuis le 1er janvier 2012 (RO 2011 5659, FF 2010 1647).</w:t>
      </w:r>
    </w:p>
    <w:p>
      <w:r>
        <w:rPr>
          <w:b/>
        </w:rPr>
        <w:t>E. 4</w:t>
      </w:r>
    </w:p>
    <w:p>
      <w:r>
        <w:t>Le recourant a présenté sa demande de rente le 15 juillet 2004.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15 juillet 2003 ou si le droit à une rente était né entre cette date et le 17 mars 2011, date de la décision attaquée marquant la limite dans le temps du pouvoir d'examen de l'autorité de recours (ATF 129 V 1 consid. 2.1, ATF 121 V 362 consid. 1b).</w:t>
      </w:r>
    </w:p>
    <w:p>
      <w:r>
        <w:rPr>
          <w:b/>
        </w:rPr>
        <w:t>E. 5.1</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4065; art. 45 du règlement 1408/71).</w:t>
      </w:r>
    </w:p>
    <w:p>
      <w:r>
        <w:rPr>
          <w:b/>
        </w:rPr>
        <w:t>E. 5.2</w:t>
      </w:r>
    </w:p>
    <w:p>
      <w:r>
        <w:t>Le recourant a versé des cotisations à l'AVS/AI pendant plus d'une année et remplit donc la condition de la durée minimale de cotisations en vigueur au jour du dépôt de la demande.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6.6</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6.7</w:t>
      </w:r>
    </w:p>
    <w:p>
      <w:r>
        <w:t>En cas de décision simultanée sur l'octroi d'une rente et son remplacement par une autre rente ou même sa suppression, le changement est régi par l'art. 88a du règlement du 17 janvier 1961 sur l'assurance invalidité (RAI, RS 831.201)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7.1</w:t>
      </w:r>
    </w:p>
    <w:p>
      <w:r>
        <w:t>Le recourant a travaillé en dernier lieu à plein temps en Suisse jusqu'au 27 juin 2003 comme tapissier-peintre. Il n'a ensuite plus exercé d'activité lucrative.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w:t>
      </w:r>
    </w:p>
    <w:p>
      <w:r>
        <w:t>En l'espèce, il est établi que le recourant a été atteint dans sa santé suite à l'accident survenu au membre inférieur gauche et au membre supérieur gauche.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ATF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9.3</w:t>
      </w:r>
    </w:p>
    <w:p>
      <w:r>
        <w:t>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Zurich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Plus pragmatiquement l'administration peut procéder à une appréciation anticipée des preuves pour juger de la non nécessité d'une expertise médicale si le dossier est complet (cf. ATF 135 V 2 consid. 1.3).</w:t>
      </w:r>
    </w:p>
    <w:p>
      <w:r>
        <w:rPr>
          <w:b/>
        </w:rPr>
        <w:t>E. 10</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(arrêt du Tribunal fédéral I 564/02 du 13 janvier 2004 consid. 5 = Pratique VSI 2004 p. 188; cf. ATF 131 V 362 consid. 2.3). Le Tribunal fédéral a, pour sa part, admis la réciprocité de cette règle à l'égard de l'assurance-invalidité en jugeant que celle-ci n'était pas liée, dans la mesure d'une complète motivation fondant une divergence (ATF 126 V 288), par l'évaluation de l'invalidité en application des critères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fondées sur des critères différents car l'assurance-accident prend en compte le rapport de causalité adéquate entre l'accident et l'invalidité alors que ce critère n'est pas déterminant pour l'assurance-invalidité, sont donc indépendantes (cf. arrêt du Tribunal fédéral 8C_558/2008 du 17 mars 2009 consid. 2.3; Valterio, op. cit., n° 2053 s.). Cette indépendance des décisions n'implique toutefois pas que des expertises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 Gustavo Scartazzini / Marc Hürzeler, Bundessozialversicherungsrecht, 3ème éd. Bâle 2009, § 10 n° 39 ss) - n'a pas limité le champ d'investigation de l'expertise.</w:t>
      </w:r>
    </w:p>
    <w:p>
      <w:r>
        <w:rPr>
          <w:b/>
        </w:rPr>
        <w:t>E. 11.1</w:t>
      </w:r>
    </w:p>
    <w:p>
      <w:r>
        <w:t>En l'espèce dans un rapport médical final du 31 mars 2008 le Dr F._______, médecin d'arrondissement de la SUVA, nota un bon état général apparent, une marche pratiquement sans boiterie, une marche sur les talons et les pointes possible, mais non l'accroupissement, une limitation de la mobilité de l'épaule gauche avec status douloureux à la palpation, un épaississement modéré du genou gauche et léger de la cheville gauche. Il indiqua un status suffisamment stabilisée dans la mesure où une amélioration n'allait pas modifier de façon importante les séquelles fonctionnelles prévisibles de l'épaule gauche qui se présentaient essentiellement sous forme de douleurs et d'une limitation de la fonction efficace au-dessus de l'horizontal. Appréciant la capacité de travail résiduelle de l'intéressé, le Dr F._______ nota une pleine capacité dans toute activité n'exigeant pas de sollicitation du bras gauche au-dessus de l'horizontal ou le port de charges supérieures à 10kg ou des activités en position accroupie, une activité sédentaire ou semi-sédentaire devant être privilégiée en raison des limitations pour la marche en terrain irrégulier ou la marche prolongée. A la suite d'une opposition de l'intéressé contre l'appréciation de sa capacité de travail résiduelle par la SUVÀ ayant retenu une incapacité de 29%, le Dr K._______, chirurgie orthopédique, mandaté par la SUVÀ, fit état des divers rapports médicaux au dossier et des plaintes de l'intéressé, nota l'usage d'une voiture sans problème, un suivi médical à trois mois pour la prescription de sa médication journalière, pas de traitement de physiothérapie, releva un status de chômeur en France avec examen d'un placement de personne à mobilité réduite. A l'examen clinique il nota un bon status général apparent, une marche pratiquement sans boiterie, une marche sur la pointe des pieds assez bien réalisée et de bonne qualité sur les talons, un accroupissement très partiel, une colonne sans contracture musculaire cervico-dorso-lombaire, des membres supérieurs sans particularité sous réserve d'une clavicule gauche surélevée et d'une mobilité du bras en flexion et abduction réduite, des membres inférieurs sans particularité sous réserve d'un genou et d'une cheville tuméfiées. Il indiqua que par comparaison avec le rapport du Dr F._______ il pouvait facilement être affirmé qu'il n'y avait pas de dégradation objective d'importance, que la capacité de travail retenue dans le rapport du Dr F._______ était parfaitement applicable. Or l'intéressé, suite à ce rapport médical, retira son opposition.</w:t>
      </w:r>
    </w:p>
    <w:p>
      <w:r>
        <w:rPr>
          <w:b/>
        </w:rPr>
        <w:t>E. 11.2</w:t>
      </w:r>
    </w:p>
    <w:p>
      <w:r>
        <w:t>A l'encontre de ces deux rapports médicaux déterminants dans la présente cause sous l'angle de l'AI, établis par le service médical de la SUVA, mais qui ne se sont nullement limités à un examen de la capacité de travail résiduelle sous l'angle des critères de causalités adéquates de l'assurance-accident propre à cette branche de la sécurité sociale, et qui dès lors ont toute valeur pour l'assurance-invalidité (cf. le consid. 10 supra), le recourant oppose les rapports de l'Orif des 22 et 28 avril 2009 et le rapport médical du Dr E._______ du 7 octobre 2009. Le premier n'a pas valeur médical, il fait état de constatations s'inscrivant dans le cadre d'une appréciation médicale. Or comme l'a relevé le service médical de l'OAI-VD, le résultat d'un stage professionnel peut être affecté par des facteurs extra-médicaux et tel a bien été le cas au vu de la médication passée de 2-3 à 14 médicaments et la détérioration de l'état de santé survenue dès le stage alors que le 4 mai 2009, peu après la période du stage, le Dr E._______ notait la possibilité pour l'assuré non de reprendre son ancienne activité professionnelle mais la possibilité d'une reprise d'activité en position assise / debout alternée avec un rendement de 100%, ou 6 h. par jour en position assise avec un rendement de 100%, sous réserve de limitation de port de poids de 15kg, sans limitation d'adaptation ni de concentration, et ce depuis plusieurs mois. Or cette appréciation s'inscrit dans le cadre de celle du Dr K._______ qui releva que l'état de santé de l'assuré était resté stable depuis le rapport médical du Dr F._______. Il releva par ailleurs que l'intéressé conduisait un véhicule automobile sans limitation (soit en position assise non limitée à 20 minutes en opposition aux constatation du rapport de stage) et était en France inscrit au chômage avec une prochaine démarche d'une recherche d'emploi à mobilité réduite, ce qui est conforme aux limitations professionnelles retenues tant par l'assureur SUVA que par la décision de l'AI attaquée. Le deuxième est une reconsidération par le Dr E._______ en date du 7 octobre 2009 de son appréciation du 4 mai précédent suite au rapport de stage de l'Orif. Il relate un état de santé rendant impossible les stations assise et debout prolongées, les marches prolongées, le port de charges lourdes, il préconise une expertise médicale. Toutefois, comme on l'a relevé, le stage a été affecté de facteurs non médicaux non associés à des atteintes à la santé confirmées par le Dr K._______ qui effectua une expertise détaillée de l'état de santé de l'assuré, que l'assuré reconnut d'ailleurs fondée du fait même de son retrait d'opposition. Or du moment que l'assureur SUVA est parvenu à un degré d'invalidité économique de 29% et que l'assureur-invalidité est parvenu à un degré d'invalidité quasi égal de 28% sur la même base d'appréciation de la capacité de travail résiduelle, force est de constater que le rapport médical du Dr E._______ du 7 octobre 2009, d'ailleurs largement antérieur à la décision du 22 février 2010 de la SUVA non contestée, ne saurait remettre en cause le bien-fondé du rapport médical du Dr K._______. Les seules plaintes d'un assuré, bien que dûment constatées dans un rapport de stage, ne suffisent pas à justifier un taux supérieur d'invalidité que celui retenu par l'administration sur la base des avis d'expertise car les allégations tendant à la reconnaissance d'une invalidité doivent être assorties de preuves médicales concluantes eu égard à l'égalité de traitement entre les assurés (cf. ATF 130 V 353 consid. 2.2.2. in fine; arrêt du Tribunal fédéral I 600/03 du 30 novembre 2004 consid. 3.2).</w:t>
      </w:r>
    </w:p>
    <w:p>
      <w:r>
        <w:rPr>
          <w:b/>
        </w:rPr>
        <w:t>E. 11.3</w:t>
      </w:r>
    </w:p>
    <w:p>
      <w:r>
        <w:t>Subsidiairement le recourant sollicite une expertise médicale, notant que la dernière jurisprudence du Tribunal fédéral enjoint d'y recourir si les rapports médicaux en présence laissent le moindre doute quant au bien-fondé de la position du service médical de l'administration. Pour accomplir leurs tâches les offices AI sont certes tenus, au stade de la procédure administrative, de confier une expertise à un médecin indépendant lorsqu'elle se révèle nécessaire pour clarifier les aspects médicaux du cas (Valterio, op. cit., n° 2891). Il ne faut cependant recourir à une expertise que si des moyens plus simples et économiques ne suffisent pas à se prononcer (rapports médicaux, renseignements), ou encore en présence de controverses médicales sur le cas concret (Blanc, op. cit., p. 142). La jurisprudence ne requiert pas qu'il faille toujours procéder à une expertise interdisciplinaire lorsqu'une personne souffre d'atteintes à sa santé physique et psychique (Valterio, op. cit., n° 2914), et ce d'autant moins comme en l'espèce quand l'assuré ne cumule pas des atteintes physiques et psychiques. L'administration peut procéder à une appréciation anticipée des preuves pour juger de la non nécessité d'une expertise médicale si le dossier est complet (cf. ATF 136 I 229 consid. 5.3, ATF 135 V 2 consid. 1.3, ATF 124 V 90 consid. 4b). Or, en l'espèce, il n'y a pas de controverse médicale, mais seule une appréciation différente (rapport du 7 octobre 2009) résultant d'un médecin se référant à un rapport de stage entaché d'éléments extra-médicaux retenant des conclusions différentes de celle d'une appréciation médicale (rapport du 9 mai 2009) dans la lignée d'un rapport d'expertise précédent (31 mai 2008) qui a été confirmé ultérieurement (12 mai 2010).</w:t>
      </w:r>
    </w:p>
    <w:p>
      <w:r>
        <w:rPr>
          <w:b/>
        </w:rPr>
        <w:t>E. 11.4</w:t>
      </w:r>
    </w:p>
    <w:p>
      <w:r>
        <w:t>Il appert de ce qui précède qu'une capacité de travail entière dans une activité adaptée tenant compte des limitations énoncées par les Drs F._______ et K._______, mais aussi E._______ dans son rapport du 4 mai 2009, doit être retenue faute d'une documentation médicale permettant de mettre en doute les conclusions auxquelles sont parvenus les Drs F._______ et K._______. Par ailleurs, on notera que les informations recueillies au cours d'un stage d'observation,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 125 V 261 consid. 4, ATF 115 V 134 consid. 2, ATF 114 V 314 consid. 3c, ATF 105 V 158 consid. 1; arrêt du Tribunal fédéral I 21/05 du 12 octobre 2005 consid. 7).</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12.3</w:t>
      </w:r>
    </w:p>
    <w:p>
      <w:r>
        <w:t>En l'espèce, pour ce qui est de l'activité lucrative, il y a lieu de prendre en compte le salaire que l'intéressé aurait réalisé avant son atteinte à la santé valeur 2008.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 L'OAI-VD, respectivement l'OAIE, a retenu comme base de comparaison sans invalidité un revenu pour l'année 2008 de 74'928 francs établi sur la base des informations de l'employeur au dossier.</w:t>
      </w:r>
    </w:p>
    <w:p>
      <w:r>
        <w:rPr>
          <w:b/>
        </w:rPr>
        <w:t>E. 12.4</w:t>
      </w:r>
    </w:p>
    <w:p>
      <w:r>
        <w:t>Le salaire après invalidité est généralement fixé sur la base des données statistiques résultant de l'Enquête suisse sur la structure des salaires (Table TA1; ATF 126 V 75 consid. 7a). En l'espèce, compte tenu de la possibilité pour l'intéressé d'exercer une activité relativement légère adaptée permettant des positions variées sans travail au-dessus de l'horizontal et de type sédentaire, il doit être retenu le revenu médian pour des activités simples et répétitives de niveau 4 dans le secteur privé pour l'année 2008 (TA 1) de 4'806.- francs par mois pour 40 h./sem. et de 4'998.24 francs pour 41.6 h./sem. selon l'horaire moyen hebdomadaire toutes branches confondues. De nombreux emplois peuvent être exercés par l'intéressé même avec un usage limité du bras gauche. Annualisé ce montant s'élève à 59'978.88 francs. Sous déduction de 10% pour circonstances personnelles liées à la limitation à des tâches légères et à des possibilités de déplacement limitées, il se monte à 53'980.99 francs. Or il s'ensuit de la comparaison une perte de revenu de 27.95% ([74'928 - 53'980.99] : 74'928 x 100 = 27.95%), taux n'ouvrant pas le droit à une rente.</w:t>
      </w:r>
    </w:p>
    <w:p>
      <w:r>
        <w:rPr>
          <w:b/>
        </w:rPr>
        <w:t>E. 12.5</w:t>
      </w:r>
    </w:p>
    <w:p>
      <w:r>
        <w:t>Dans son recours l'intéressé fait valoir que l'abattement retenu est insuffisant et qu'un abattement de 25% aurait dû être retenu compte tenu du rapport de stage de l'Orif. Le Tribunal de céans, lorsqu'il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En l'espèce le rapport d'évaluation de l'Orif tendrait à prendre en compte un abattement nettement plus important que celui retenu par l'administration, mais il est manifeste aussi que ce stage a été entaché d'éléments extra-médicaux qui en ont faussé les résultats. La médication prise par l'intéressé durant ce stage en est un élément probant en totale contradiction avec le rapport médical du Dr E._______ du 4 mai 2009. Il s'ensuit qu'il y a lieu de retenir les conclusions médicales des Dr F._______ et K._______, et, à ce titre, compte tenu d'une activité adaptée, l'abattement de 10% n'apparaît pas manifestement arbitraire d'autant plus que sa prise en compte donne lieu à une invalidité économique de 27.95% qui est proche de celle retenue par la SUVA que l'intéressé n'a d'ailleurs pas contestée. Vu ce qui précède le recours doit être rejeté.</w:t>
      </w:r>
    </w:p>
    <w:p>
      <w:r>
        <w:rPr>
          <w:b/>
        </w:rPr>
        <w:t>E. 13</w:t>
      </w:r>
    </w:p>
    <w:p>
      <w:r>
        <w:t>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RCC 1989 p. 325 consid. 2b, RCC 1982 p. 34 consid. 2c).</w:t>
      </w:r>
    </w:p>
    <w:p>
      <w:r>
        <w:rPr>
          <w:b/>
        </w:rPr>
        <w:t>E. 14</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 . 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