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C-2208/2010 vom 7. November 2011</w:t>
      </w:r>
    </w:p>
    <w:p>
      <w:r>
        <w:t>Bundesverwaltungsgericht, 2011-11-07, DE</w:t>
      </w:r>
    </w:p>
    <w:p>
      <w:r>
        <w:rPr>
          <w:b/>
        </w:rPr>
        <w:t xml:space="preserve">Quelle: </w:t>
      </w:r>
      <w:r>
        <w:t>https://mcp.opencaselaw.ch/entscheid/bvger_C-2208_2010</w:t>
      </w:r>
    </w:p>
    <w:p>
      <w:r>
        <w:t>FR: TAF C-2208/2010 du 7 novembre 2011</w:t>
      </w:r>
    </w:p>
    <w:p>
      <w:r>
        <w:t>IT: TAF C-2208/2010 del 7 novembre 2011</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Verwaltungsverfahrensgesetz (Art. 37 VGG).</w:t>
      </w:r>
    </w:p>
    <w:p>
      <w:r>
        <w:rPr>
          <w:b/>
        </w:rPr>
        <w:t>E. 1.3</w:t>
      </w:r>
    </w:p>
    <w:p>
      <w:r>
        <w:t>Der Beschwerdeführer ist gemäss Art. 48 Abs. 1 VwVG zur Beschwerde berechtigt. Auf die frist- und formgerecht erhobene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BVGE 2011/1 E. 2, BVGE 2007/41 E. 2 und Urteil des BVGer A-2682/2007 vom 7. Oktober 2010 E. 1.2 und 1.3).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w:t>
      </w:r>
    </w:p>
    <w:p>
      <w:r>
        <w:rPr>
          <w:b/>
        </w:rPr>
        <w:t>E. 4</w:t>
      </w:r>
    </w:p>
    <w:p>
      <w:r>
        <w:t>Die inländischen Bestimmungen über das Visumsverfahren und über die Ein- und Ausreise finden Anwendung, sofern die Schengen-Assozi­ierungs­abkommen keine abweichenden Bestimmungen enthalten (vgl. Art. 2 Abs. 4 und 5 des Bundesgesetzes vom 16. Dezember 2005 über die Ausländerinnen und Ausländer [AuG, SR 142.20]).</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Visumserteilung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5.2</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bieten (Art. 14 Abs. 1 Bst. c und Art. 21 Abs. 1 Visakodex sowie Art. 5 Abs. 2 AuG).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Bst. e SGK)</w:t>
      </w:r>
    </w:p>
    <w:p>
      <w:r>
        <w:rPr>
          <w:b/>
        </w:rPr>
        <w:t>E. 6</w:t>
      </w:r>
    </w:p>
    <w:p>
      <w:r>
        <w:t>Werden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4 Bst. c SGK).</w:t>
      </w:r>
    </w:p>
    <w:p>
      <w:r>
        <w:rPr>
          <w:b/>
        </w:rPr>
        <w:t>E. 7</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Sri Lanka zu diesen Staaten zählt, unterliegen die Gesuchstellenden der Visumspflicht.</w:t>
      </w:r>
    </w:p>
    <w:p>
      <w:r>
        <w:rPr>
          <w:b/>
        </w:rPr>
        <w:t>E. 8</w:t>
      </w:r>
    </w:p>
    <w:p>
      <w:r>
        <w:t>Geht es um die Beurteilung des Kriteriums der gesicherten Wiederausreise, so muss ein zukünftiges Verhalten beurteilt werden. Hierzu sind lediglich Prognosen möglich, wobei jedoch sämtliche Umstände des konkreten Einzelfalles zu würdigen sind. Dabei fällt unter anderem die allgemeine Situation im Herkunftsland in Betracht.</w:t>
      </w:r>
    </w:p>
    <w:p>
      <w:r>
        <w:rPr>
          <w:b/>
        </w:rPr>
        <w:t>E. 8.1</w:t>
      </w:r>
    </w:p>
    <w:p>
      <w:r>
        <w:t>Die soziokulturelle Situation Sri Lankas ist noch immer durch den - mit Unterbrechungen - 26 Jahre währenden und erst im Mai 2009 beende­ten Bürgerkrieg geprägt. Der tamilische Norden und Osten des Lan­des sind in ihrer Entwicklung zurückgeworfen und beim wirtschaftli­chen Wieder­aufbau sowohl auf erhebliche Hilfe der eigenen Regierung als auch auf inter­nationale Unterstützung an­gewiesen. Von den rund 300'000 Binnenflüchtlingen, die in den letzten Monaten des Bürgerkriegs im kontinuierlich schrumpfenden Kampfgebiet eingeschlossen waren und danach zwangs­weise in Lagern untergebracht wurden, konnten noch nicht alle an ihre Heimatorte zurückkehren; viele sind weiterhin in mittlerweile offenen Lagern, ein grosser Teil auch bei Gastfamilien unterge­bracht. Ihre Rücksiedlung in die Heimatorte gehört zu den vordring­lichsten innenpolitischen Aufgaben. Zudem hat das Ende des Bür­gerkriegs die Diskussion um eine politische Lösung für den ethni­schen Konflikt zwischen der singhalesischen Bevölkerungsmehrheit und der sich diskriminiert fühlenden tamilischen Minderheit wieder entfacht. Der­zeit scheint eine sol­che Lösung jedoch noch in weiter Ferne zu liegen (Quelle: Deut­sches Auswärtiges Amt, http://www.auswaertiges-amt.de&gt;, Länderinformationen &gt; Sri Lanka &gt; Innenpolitik, Stand: März 2011, be­sucht im Oktober 2011; vgl. auch Schweizeri­sche Flüchtlings­hilfe, &lt;http://www.flüchtlingshilfe.ch Herkunftsländer Asien - Pazifik Sri Lanka Themenpapier vom Rainer Mattern vom 22. September 2011: Sri Lanka: Situation für aus dem Norden oder Osten stammende TamilInnen in Colombo und für Rückkehrer-Innen nach Sri Lanka, S. 3 ff.). Vor diesem Hintergrund besteht bei der tamilischen Bevölkerung ein vielfacher Wunsch zur Auswanderung, der sich vor allem bei denjenigen manifestiert, die bereits über ein minimales soziales Beziehungsnetz im Ausland verfügen. Die schwie­rige Lage dieser Personengruppe spiegelt sich im Übrigen in der schweizeri­schen Asylstatistik wider. Ihr zufolge stellten Personen aus Sri Lanka noch im Jahre 2010 mit 939 Gesuchen die drittgrösste Gruppe von Asylsu­chenden (Quelle: Bundesamt für Migration, http://www.bfm.admin.ch &gt; Dokumentation &gt; Zahlen und Fakten &gt; Asylstatistik &gt; Kommentierte Asylstatistik 2010, S. 3).</w:t>
      </w:r>
    </w:p>
    <w:p>
      <w:r>
        <w:rPr>
          <w:b/>
        </w:rPr>
        <w:t>E. 8.2</w:t>
      </w:r>
    </w:p>
    <w:p>
      <w:r>
        <w:t>Allein aufgrund der allgemeinen Lage im Herkunftsland darf jedoch nicht auf eine nicht hinreichend gesicherte Wiederausreise geschlossen werden. Die soeben dargelegten Umstände entbinden daher nicht von einer einzelfallbezogenen Beurteilung, wobei namentlich berufliche, gesellschaftliche oder familiäre Verpflichtungen die Prognose einer anstandslosen Wiederausreise begünstigen.</w:t>
      </w:r>
    </w:p>
    <w:p>
      <w:r>
        <w:rPr>
          <w:b/>
        </w:rPr>
        <w:t>E. 9.1</w:t>
      </w:r>
    </w:p>
    <w:p>
      <w:r>
        <w:t>A._______ wurde in Inuvil im Distrikt Jaffna geboren; ihre Kinder B._______, C._______ und D._______ kamen in Kilinochchi bzw. im gleichnamigen Distrikt auf die Welt. Alle vier Gesuchstellenden stammen somit aus der Nordprovinz, d.h. aus den tamilischen Gebieten, welche immer noch durch die Nachkriegssituation und die starke Militarisierung geprägt werden. Angesichts dieser Lebensumstände lässt das in ihrem Fall behauptete Vorhandensein von Grundbesitz und Ersparnissen nicht unbedingt darauf schliessen, dass sie, sobald sie das Land einmal verlassen haben, wieder in ihre krisengebeutelte Heimatregion zurückkehren wollen. Erst recht gilt diese Annahme, weil sich der Beschwerdeführer nicht einmal genauer zum Umfang des behaupteten Vermögens geäussert hat.</w:t>
      </w:r>
    </w:p>
    <w:p>
      <w:r>
        <w:rPr>
          <w:b/>
        </w:rPr>
        <w:t>E. 9.2</w:t>
      </w:r>
    </w:p>
    <w:p>
      <w:r>
        <w:t>Dass die Gesuchstellenden sonstige spezielle Verpflichtungen und Bindungen in ihrem Heimatland hätten, ist nicht ersichtlich. Der Beschwer­deführer hat zwar erklärt, seine Cousine habe in ihrem Heimatland mehrere nahe Angehörige, unter anderem eine Schwester und vier Brüder; ausschlaggebend sind diese Beziehungen aber schon deshalb nicht, weil die engste familiäre Verbundenheit unter den Gesuchstellenden selbst besteht und diese sich gemeinsam um die Einreise in die Schweiz bemühen. Was die drei erwachsenen Kinder betrifft, so lässt sich ihren Visumsgesuchen vom 5. Januar 2010 entnehmen, dass der Sohn B._______ seinerzeit als Farmer arbeitete und die Töchter C._______ und D._______ studierten. Dass die ältere Tochter das Studium offenbar mittlerweile beendet hat, geht aus der Replik des Beschwerdeführers vom 22. Juni 2010 hervor. Zum näheren beruflichen Umfeld bzw. zu den Berufsplänen der Kinder hat sich der Beschwerdeführer allerdings nicht geäussert. Inwieweit die drei jungen Erwachsenen - trotz Beruf und Ausbildung - ihren Lebensunterhalt sicherstellen können, bleibt daher angesichts der Situation in ihrem Heimatland fraglich.</w:t>
      </w:r>
    </w:p>
    <w:p>
      <w:r>
        <w:rPr>
          <w:b/>
        </w:rPr>
        <w:t>E. 9.3</w:t>
      </w:r>
    </w:p>
    <w:p>
      <w:r>
        <w:t>Es kann somit nicht ausgeschlossen werden, dass die Gesuchstellenden die Absicht haben, nach einmal erfolgter Einreise in der Schweiz zu bleiben. Dass sie hier über ein grösseres Beziehungsnetz verfügen, als es des Beschwerdeführer glauben machen möchte, darf angenommen werden. Dieser hat zwar in seiner Replik behauptet, er sei der einzige Angehörige seiner Cousine in der Schweiz; das Gegenteil ergibt sich allerdings aus den kantonalen Abklärungen (vgl. Schreiben der Gemeinde [...] vom 12. Februar 2010). Möglicherweise gehören zum hiesigen Beziehungsnetz der Gesuchstellenden auch noch Familienangehörige des verstorbenen Ehemannes bzw. Vaters, ist doch in der Beschwerdeschrift von dessen Verwandtschaft, welche eine Gedenkfeier organisieren wolle, die Rede.</w:t>
      </w:r>
    </w:p>
    <w:p>
      <w:r>
        <w:rPr>
          <w:b/>
        </w:rPr>
        <w:t>E. 9.4</w:t>
      </w:r>
    </w:p>
    <w:p>
      <w:r>
        <w:t>Die behauptete Absicht, an dieser Gedenkfeier teilnehmen zu wollen, scheint ausserdem nicht vordringlicher Besuchszweck zu sein. Dem vom Beschwerdeführer eingereichten Schreiben der Mobiliar vom 22. Oktober 2009 ist zu entnehmen, dass den Gesuchstellenden ab Mai 1992 Hinterbliebenenrenten ausgerichtet wurden; der Unfalltod des Ehemannes bzw. Vaters liegt somit mehr als neunzehn Jahre zurück. Von daher scheint der Wunsch der Gesuch­stellenden, sich nach einer derart langen Zeitspanne erstmals mit weiteren Angehörigen bei einer Gedenkfeier zu treffen, nachrangig zu sein und nicht dem wahren Besuchszweck zu entsprechen. Unabsichtlich wird diese Einschätzung bestätigt, wenn in der Replik behauptet wird, es entspreche einer tamilischen Tradition, jedes Jahr am Todestag eines Verstorbenen eine Gedenkfeier innerhalb der Familie abzuhalten.</w:t>
      </w:r>
    </w:p>
    <w:p>
      <w:r>
        <w:rPr>
          <w:b/>
        </w:rPr>
        <w:t>E. 9.5</w:t>
      </w:r>
    </w:p>
    <w:p>
      <w:r>
        <w:t>Schliesslich hat der Beschwerdeführer geltend gemacht, die Gesuchsteller hätten Anspruch auf Witwen- und Waisenrenten. Dem von ihm eingereichten Schreiben der Mobiliar vom 22. Oktober 2009 lässt sich allerdings nicht entnehmen, ob tatsächlich noch derartige Rentenansprüche existieren. Insbesondere geht aus diesem Schreiben hervor, dass im Jahr 1999 sämtliche Rentenzahlungen eingestellt wurden, da die Gesuchstellenden keine Nachweise über ihre Anspruchsberechtigung (Auszug aus dem Zivilstandsregister zum Nachweis der fehlenden Wiederverheiratung, Ausbildungsbestätigungen) erbracht hatten. Die Versicherung hat dabei in Aussicht gestellt, die Weiterausrichtung der Renten, auch rückwirkend, zu prüfen, sobald entsprechende Belege vorgelegt würden. Bei dieser Sachlage besteht für die Gesuchstellenden keine Notwendigkeit, in die Schweiz einzureisen, um allfällige Ansprüche gegenüber der Versicherung persönlich geltend zu machen. Die Gesuchstellenden konnten sich früher offensichtlich vom Heimatland aus um ihre Rentenansprüche küm­mern und wurden dabei vom in der Schweiz lebenden Beschwerdeführer unterstützt. Dies ist ihnen auch gegenwärtig - auch soweit es Ansprüche aus der Vergangenheit betrifft - möglich, sofern die jeweiligen Anspruchsvoraussetzungen erfüllt sind und nachgewiesen werden.</w:t>
      </w:r>
    </w:p>
    <w:p>
      <w:r>
        <w:rPr>
          <w:b/>
        </w:rPr>
        <w:t>E. 10</w:t>
      </w:r>
    </w:p>
    <w:p>
      <w:r>
        <w:t>Gründe für die Ausstellung eines Visums mit räumlich beschränkter Gültigkeit (vgl. E. 6) sind nicht ersichtlich. Insbesondere ist kein humanitärer Grund darin zu erblicken, dass die Gesuchstellenden den Ort besuchen wollen, an dem der vor fast zwei Jahrzehnten verstorbene Ehemann und Vater gelebt hat.</w:t>
      </w:r>
    </w:p>
    <w:p>
      <w:r>
        <w:rPr>
          <w:b/>
        </w:rPr>
        <w:t>E. 11</w:t>
      </w:r>
    </w:p>
    <w:p>
      <w:r>
        <w:t>Vor dem aufgezeigten Hintergrund durfte die Vorinstanz zu Recht annehmen, die Wiederausreise der Gesuchstellenden nach dem geplanten Besuchsaufenthalt sei nicht gesichert. Daran ändert auch der Umstand nichts, dass der Beschwerdeführer wiederholt das Gegenteil zugesichert hat, ist doch eine derartige Garantie weder faktisch noch rechtlich durchsetzbar. Gastgeber können zwar für gewisse finanzielle Risiken im Zusammenhang mit einem Besuchsaufenthalt garantieren, nicht jedoch für eine bestimmtes Verhalten ihrer Gäste (vgl. BVGE 2009/27 E. 9).</w:t>
      </w:r>
    </w:p>
    <w:p>
      <w:r>
        <w:rPr>
          <w:b/>
        </w:rPr>
        <w:t>E. 12</w:t>
      </w:r>
    </w:p>
    <w:p>
      <w:r>
        <w:t>Aus diesen Darlegungen folgt, dass die angefochtene Verfügung im Ergebnis rechtmässig ist (Art. 49 VwVG). Die Beschwerde ist demzufolge abzuweisen.</w:t>
      </w:r>
    </w:p>
    <w:p>
      <w:r>
        <w:rPr>
          <w:b/>
        </w:rPr>
        <w:t>E. 13</w:t>
      </w:r>
    </w:p>
    <w:p>
      <w:r>
        <w:t>Bei diesem Ausgang des Verfahrens sind die Kosten dem Beschwerdeführer aufzuerlegen (vgl. Art. 63 Abs. 1 VwVG i.V.m. Art. 1 und Art. 3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