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C-2208/2008 vom 9. November 2009</w:t>
      </w:r>
    </w:p>
    <w:p>
      <w:r>
        <w:t>Bundesverwaltungsgericht, 2009-11-09, DE</w:t>
      </w:r>
    </w:p>
    <w:p>
      <w:r>
        <w:rPr>
          <w:b/>
        </w:rPr>
        <w:t xml:space="preserve">Quelle: </w:t>
      </w:r>
      <w:r>
        <w:t>https://mcp.opencaselaw.ch/entscheid/bvger_C-2208_2008</w:t>
      </w:r>
    </w:p>
    <w:p>
      <w:r>
        <w:t>FR: TAF C-2208/2008 du 9 novembre 2009</w:t>
      </w:r>
    </w:p>
    <w:p>
      <w:r>
        <w:t>IT: TAF C-2208/2008 del 9 novembre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der Gesuchsteller der Visumspflicht.</w:t>
      </w:r>
    </w:p>
    <w:p>
      <w:r>
        <w:rPr>
          <w:b/>
        </w:rPr>
        <w:t>E. 6</w:t>
      </w:r>
    </w:p>
    <w:p>
      <w:r>
        <w:t>Verfahren, die am 12. Dezember 2008 (Datum der Inkraftsetzung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nach neuem Recht fortgeführt (Art. 57 VEV).</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Die politische und wirtschaftliche Situation in Serbien ist auch Jahre nach Beendigung der bewaffneten Auseinandersetzungen und Aufhebung von Boykottmassnahmen schwierig. Obschon mit der Umsetzung von Wirtschaftsreformen das Wachstum gesteigert werden konnte, bleibt die Arbeitslosigkeit mit einer Quote von rund 20% sehr hoch. Das Nettodurchschnittseinkommen liegt bei ca. 350 Euro monatlich (Quelle: Länder- und Reiseinformationen auf der Webseite des Auswärtigen Amtes, &lt;http://www.auswaertiges-amt.de&gt;, Stand: Dezember 2008, besucht im Oktober 2009). Von dieser Situation besonders betroffen ist die junge Bevölkerungsschicht im Alter von 15 bis 24 Jahren, die fast zur Hälfte arbeitslos ist (vgl. International Organization of Migration, Serbia Labour Market Assessment, September 2006, S. 2). Entsprechend hoch ist der Anteil jener, die versuchen, nach Westeuropa - und unter anderem auch in die Schweiz - zu gelangen, um sich unter günstigeren Lebensbedingungen eine bessere Existenz aufzubauen.</w:t>
      </w:r>
    </w:p>
    <w:p>
      <w:r>
        <w:rPr>
          <w:b/>
        </w:rPr>
        <w:t>E. 7.4</w:t>
      </w:r>
    </w:p>
    <w:p>
      <w:r>
        <w:t>Die Tendenz zur Auswanderung zeigt sich erfahrungsgemäss besonders stark bei jüngeren und ungebundenen Personen.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Personen aus Serbien und Kosovo im Jahre 2008 mit 1'301 Gesuchen (2007: 1'030, + 26.3%) die viertgrösste Gruppe von Asylsuchenden stellte (vgl. kommentierte BFM-Asylstatistik 2008, S. 4 und 9, im Internet unter: &lt;http://www.bfm.admin.ch&gt;, Themen &gt; Statistiken). Es wäre jedoch zu schematisch und nicht haltbar, generell und ohne spezifische Anhaltspunkte ausschliesslich aufgrund der allgemeinen Lage in der Herkunftsregion auf eine nicht hinreichend gesicherte Wiederausreise zu schliessen. Die eben genannten Umstände entbinden die Vorinstanz daher nicht von einer einzelfallbezogenen Beurteilung. Namentlich können berufliche, gesellschaftliche oder familiäre Verpflichtungen die Prognose für eine anstandslose Wiederausreise begünstigen.</w:t>
      </w:r>
    </w:p>
    <w:p>
      <w:r>
        <w:rPr>
          <w:b/>
        </w:rPr>
        <w:t>E. 8.1</w:t>
      </w:r>
    </w:p>
    <w:p>
      <w:r>
        <w:t>Bei dem aus einer ländlichen Gegend stammenden Gesuchsteller handelt es sich um einen knapp 25-jährigen, geschiedenen Mann, welcher mit seinen Eltern und seinem jüngeren Bruder in Hausgemeinschaft lebt. Aus dem blossen Umstand, dass er bei einer Ausreise seine Familienangehörigen in der Heimat zurücklassen würde, können die Beteiligten noch nichts für sich ableiten, befindet sich doch der Eingeladene schon rein altersmässig in einer Lebensphase, in der man sich in aller Regel von den Eltern und Geschwistern löst und eine selbständige Lebensplanung in Angriff nimmt (vgl. auch Erwägung 8.3 hienach). Es kann demnach nicht davon ausgegangen werden, im persönlichen oder familiären Umfeld des Gesuchstellers seien Verpflichtungen oder gar Abhängigkeiten vorhanden, die besondere Gewähr für eine Rückkehr nach Serbien bieten könnten.</w:t>
      </w:r>
    </w:p>
    <w:p>
      <w:r>
        <w:rPr>
          <w:b/>
        </w:rPr>
        <w:t>E. 8.2</w:t>
      </w:r>
    </w:p>
    <w:p>
      <w:r>
        <w:t>Entsprechend grosse Bedeutung kommt deshalb den wirtschaftlichen Verhältnissen zu, in denen sich der Gesuchsteller befindet. Gemäss Angaben im persönlichen Einreisegesuch soll er als Landwirt tätig sein. In den Akten befinden sich allerdings keine näheren Angaben zu seinen Erwerbseinkünften. Vom Beschwerdeführer wurde bezüglich der beruflichen Tätigkeit seines Enkels lediglich ausgeführt, dieser würde zusammen mit seinem (jüngeren) Bruder auf dem Landwirtschaftsbetrieb der Eltern mitarbeiten. Angesichts der schwierigen Situation, mit der Landwirte in Serbien zu kämpfen haben, ist nicht davon auszugehen, der Eingeladene lebe in wirtschaftlich günstigen Verhältnissen, die ihn verlässlich von einer Emigration abzuhalten vermöchten. Abgesehen davon lässt bereits der Umstand, dass vom Gesuchsteller gleich eine dreimonatige Landesabwesenheit geplant ist, nicht ohne weiteres darauf schliessen, dessen Präsenz sei für Haus und Hof unverzichtbar; aufgrund der Aktenlage ist eher davon auszugehen, die Bewirtschaftung des elterlichen Gutsbetriebes könne durchaus für längere Zeit auch auf andere Weise sichergestellt werden.</w:t>
      </w:r>
    </w:p>
    <w:p>
      <w:r>
        <w:rPr>
          <w:b/>
        </w:rPr>
        <w:t>E. 8.3</w:t>
      </w:r>
    </w:p>
    <w:p>
      <w:r>
        <w:t>Wie die Vorinstanz in ihrer Vernehmlassung zu Recht festgehalten hat, ist im Weitern auch das Verhalten des Gesuchstellers anlässlich seines früheren Aufenthaltes in der Schweiz zu berücksichtigen. So gelangte der Eingeladene am 15. Januar 2005 mit einem zweimonatigen Besuchervisum in die Schweiz. Nach dessen Ablauf kehrte er nicht in sein Heimatland zurück, sondern verheiratete sich am 18. März 2005 mit einer hierzulande niedergelassenen Landsmännin. Nachdem ihm hierauf eine Aufenthaltsbewilligung zum Verbleib bei seiner Ehefrau erteilt worden war, wurde die eheliche Gemeinschaft bereits am 22. April 2005 wieder aufgegeben. Mit Verfügung vom 26. Juli 2005 widerrief das Migrationsamt des Kantons Zürich die bis zum 18. März 2006 gültige Aufenthaltsbewilligung, verweigerte dem Gesuchsteller den weiteren Aufenthalt und setzte ihm Frist bis Ende Oktober 2005 zum Verlassen des zürcherischen Kantonsgebietes. Am 26. September 2005 dehnte das BFM die kantonale Wegweisungsverfügung auf die ganze Schweiz sowie auf das Fürstentum Liechtenstein aus unter gleichzeitiger Einräumung einer Ausreisefrist bis zum 31. Oktober 2005. Dieser Entscheid erwuchs unangefochten in Rechtskraft. Am 26. Oktober 2005 reiste der Gesuchsteller in sein Heimatland zurück. Nichts zu seinen Gunsten abzuleiten vermag der Eingeladene indessen aus dem Umstand, die Schweiz innerhalb der ihm angesetzten Ausreisefrist verlassen zu haben, hätte er doch andernfalls mit der (fremden-)polizeilichen Ausschaffung rechnen müssen.</w:t>
      </w:r>
    </w:p>
    <w:p>
      <w:r>
        <w:rPr>
          <w:b/>
        </w:rPr>
        <w:t>E. 8.4</w:t>
      </w:r>
    </w:p>
    <w:p>
      <w:r>
        <w:t>Nicht zuletzt aufgrund dieser Vorkommnisse, die in der Tat auf missbräuchliches Verhalten des Gesuchstellers hindeuten, müssen die Beteuerungen des Beschwerdeführers, sein Enkel werde die Schweiz nach seinem Besuchsaufenthalt fristgerecht wieder verlassen, als nicht ausschlaggebend bezeichnet werden. Aufgrund der Aktenlage kann nicht ausgeschlossen werden, dass der Eingeladene, welcher während seines Voraufenthaltes in der Schweiz ebenfalls einer Erwerbstätigkeit nachgegangen war, auch bei einer erneuten Einreise bestrebt sein könnte, sich über die beantragte Visumsdauer hinaus hierzulande aufzuhalten. Insofern bestehen gewisse Festsetzungstendenzen und demzufolge begründete Zweifel am angegebenen Aufenthaltszweck (Besuchsaufenthalt; vgl. Art. 15 Abs. 1 Bst. b i.V.m. Art. 16 und Art. 12 Abs. 2 Bst. c in fine VEV). Diese Einschätzung wird noch durch die Tatsache bestärkt, dass der Gesuchsteller - wie sich aus den Akten des Migrationsamtes des Kantons Thurgau ergibt - in der Zwischenzeit versucht hat, ein 30-tägiges Geschäftsvisum zu erlangen. Dies, um als Inhaber einer eigenen Firma angeblich ein im Kanton Thurgau ansässiges Unternehmen, welches Holzbearbeitungsmaschinen vertreibt, besuchen zu können. Den Gesuchsunterlagen lag unter anderem eine serbische Handelsregisterbestätigung vom 5. September 2008 zugrunde, wonach der fragliche Betrieb des Gesuchstellers seine geschäftliche Tätigkeit vom 5. September 2008 bis zum 2. September 2009 einstellen werde. Nachdem der Gesuchsteller in der Folge den Kontakt mit dem Schweizerischen Geschäftspartner abgebrochen hatte, wies das BFM das Einreisegesuch mit Verfügung vom 12. September 2009 ab, unter anderem mit der Begründung, der Aufenthaltszweck sei dahingefallen. Zuvor war ein weiteres Begehren des Eingeladenen um Ausstellung eines 90-tägigen Besuchervisums am 23. Februar 2009 von der Schweizervertretung in Belgrad formlos abgewiesen worden.</w:t>
      </w:r>
    </w:p>
    <w:p>
      <w:r>
        <w:rPr>
          <w:b/>
        </w:rPr>
        <w:t>E. 8.5</w:t>
      </w:r>
    </w:p>
    <w:p>
      <w:r>
        <w:t>Soweit der Beschwerdeführer sinngemäss eine rechtsungleiche Behandlung durch die Vorinstanz rügt, indem dem Bruder des Gesuchstellers, der ebenfalls auf dem elterlichen Hof mithelfe, in der Vergangenheit (wiederholt) ein Besuchervisum ausgestellt worden sei, gilt es darauf hinzuweisen, dass jeder Einzelfall eine ihm eigene und spezifische Konstellation aufweist, so dass er nicht ohne weiteres mit anderen, angeblich gleich gelagerten Fällen verglichen werden kann. So ist denn nach dem Gesagten (vgl. insbesondere die Erwägungen 8.3 und 8.4) hinreichend erstellt, dass sich die entscheidswesentlichen Sachumstände im vorliegenden Fall wesentlich von denjenigen des eingeladenen Bruders unterscheiden. Die entsprechende Rüge stösst somit ins Leere.</w:t>
      </w:r>
    </w:p>
    <w:p>
      <w:r>
        <w:rPr>
          <w:b/>
        </w:rPr>
        <w:t>E. 8.6</w:t>
      </w:r>
    </w:p>
    <w:p>
      <w:r>
        <w:t>Gemäss den vorstehenden Erwägungen durfte die Vorinstanz daher zu Recht davon ausgehen, die Wiederausreise des Gesuchstellers sei im Sinne der massgeblichen Bestimmungen nicht gesichert. An der Richtigkeit dieser Einschätzung ändert auch die Tatsache nichts, dass der Beschwerdeführer die rechtzeitige Rückkehr seines Gastes zugesichert hat, denn eine solche Garantie ist trotz bester und ehrlicher Absichten nicht möglich bzw. rechtlich nicht durchsetzbar. Gastgeber können zwar für gewisse finanzielle Risiken im Zusammenhang mit dem Besuchsaufenthalt, nicht aber, wie denn auch die Erfahrung im vorliegenden Fall gezeigt hat, für ein bestimmtes Verhalten ihrer Gäste garantieren (vgl. anstelle vieler: Urteile des Bundesverwaltungsgerichts C-3174/2008 vom 8. Juni 2009 E. 8.3 und C-2618/2008 vom 26. Februar 2009 E. 11, mit weiteren Hinweisen).</w:t>
      </w:r>
    </w:p>
    <w:p>
      <w:r>
        <w:rPr>
          <w:b/>
        </w:rPr>
        <w:t>E. 9</w:t>
      </w:r>
    </w:p>
    <w:p>
      <w:r>
        <w:t>Aus den dargelegten Gründen ist somit nicht zu beanstanden, dass die Vorinstanz das öffentliche Interesse sowie die Beachtung der geltenden Bestimmungen entsprechend gewichtete und dem Gesuchsteller die Einreise verweigerte. Die angefochtene Verfügung verletzt kein Bundesrecht. Der rechtserhebliche Sachverhalt wurde entgegen der Ansicht des Beschwerdeführers richtig und vollständig festgestellt, weshalb kein Anlass besteht, die Sache - im Sinne des Eventualantrags - zur Neubeurteilung an das BFM zurückzuweisen. Im Weitern hat die Vorinstanz das ihr zustehende Ermessen pflichtgemäss und zutreffend gehandhabt (Art. 49 VwVG). Die Beschwerde ist demzufolge abzuweisen.</w:t>
      </w:r>
    </w:p>
    <w:p>
      <w:r>
        <w:rPr>
          <w:b/>
        </w:rPr>
        <w:t>E. 10</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