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C-2205/2010 vom 19. Januar 2011</w:t>
      </w:r>
    </w:p>
    <w:p>
      <w:r>
        <w:t>Bundesverwaltungsgericht, 2011-01-19, FR</w:t>
      </w:r>
    </w:p>
    <w:p>
      <w:r>
        <w:rPr>
          <w:b/>
        </w:rPr>
        <w:t xml:space="preserve">Quelle: </w:t>
      </w:r>
      <w:r>
        <w:t>https://mcp.opencaselaw.ch/entscheid/bvger_C-2205_2010</w:t>
      </w:r>
    </w:p>
    <w:p>
      <w:r>
        <w:t>FR: TAF C-2205/2010 du 19 janvier 2011</w:t>
      </w:r>
    </w:p>
    <w:p>
      <w:r>
        <w:t>IT: TAF C-2205/2010 del 19 gennaio 2011</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dérogation aux conditions d'admission prononcées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w:t>
      </w:r>
    </w:p>
    <w:p>
      <w:r>
        <w:rPr>
          <w:b/>
        </w:rPr>
        <w:t>E. 1.3</w:t>
      </w:r>
    </w:p>
    <w:p>
      <w:r>
        <w:t>A moins que la LTAF n'en dispose autrement, la procédure devant le TAF est régie par la PA (art. 37 LTAF).</w:t>
      </w:r>
    </w:p>
    <w:p>
      <w:r>
        <w:rPr>
          <w:b/>
        </w:rPr>
        <w:t>E. 1.4</w:t>
      </w:r>
    </w:p>
    <w:p>
      <w:r>
        <w:t>A._______ a qualité pour recourir (art. 48 al. 1 PA). Présenté dans la forme et les délais prescrits par la loi, son recours est recevable (art. 50 et art. 52 PA).</w:t>
      </w:r>
    </w:p>
    <w:p>
      <w:r>
        <w:rPr>
          <w:b/>
        </w:rPr>
        <w:t>E. 1.5</w:t>
      </w:r>
    </w:p>
    <w:p>
      <w:r>
        <w:t>Il s'impose de relever ici que les conclusions du recours (soit "l'objet du litige" ou "Streitgegenstand") sont limitées par les questions tranchées dans le dispositif de la décision querellée (soit "l'objet de la contestation" ou "Anfechtungsgegenstand"; cf. à ce sujet ATF 134 V 418 consid. 5.2.1, 131 II 200 consid. 3.2, 125 V 413 consid. 1 et 2, et Jurisprudence des autorités administratives de la Confédération [JAAC] 67.66 consid. 6b/bb) et que celles qui en sortent ne sont pas recevables (cf. ATF 125 V 413 consid. 1 et jurisprudence citée; JAAC 61.20 consid. 3; Alfred Kölz/Isabelle Häner, Verwaltungsverfahren und Verwaltungsrechtspflege des Bundes, 2e éd., Zurich 1998, p. 148 ss; Fritz Gygi, Bundesverwaltungsrechtspflege, 2e éd., Berne 1983, p. 44 ss; Jean-François Poudret, Commentaire de la loi fédérale d'organisation judiciaire, vol. V, Berne 1992, no 2.2, p. 8s.; Pierre Moor, Droit administratif, vol. II: Les actes administratifs et leur contrôle, 2ème éd., Berne 2002, no 5.7.1.4, pp. 674/675). Cela signifie, en l'espèce, que le Tribunal ne peut examiner que les rapports de droit sur lesquels l'autorité inférieure s'est prononcée dans sa décision du 5 mars 2010, laquelle détermine l'objet de la contestation. En conséquence, l'objet du litige est limité, par le dispositif de la décision attaquée, à la seule question de la dérogation aux conditions d'admission au sens de l'art. 30 al. 1 let. b LEtr. Aussi, l'argumentation développée par la recourante au sujet de l'application de l'art. 28 LEtr n'a pas à être examinée en la présente procédure et les conclusions du recours tendant à l'octroi d'une autorisation de séjour en application de cette disposition sont irrecevables, dès lors que cette question ne fait pas partie de l'objet du litige. 2.La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Martina Caroni/Thomas Gächter/ Daniela Turnherr [éd.], Bundes­gesetz über die Aus­länderinnen und Ausländer [AuG], Berne 2010, p. 226s. n. 2 et 3 ad art. 30 LEtr).</w:t>
      </w:r>
    </w:p>
    <w:p>
      <w:r>
        <w:rPr>
          <w:b/>
        </w:rPr>
        <w:t>E. 3.2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de 1986, RO 1986 1791, cf. message précité du 8 mars 2002, spéc. p. 3543 ad art. 30 du projet [qui correspond à l'art. 30 LEtr]) ; ATAF 2009/40 précité consid. 5 p. 567ss [sur la portée de l'art. 14 al. 2 let. c LAsi], spéc. consid. 5.2.2 p. 569s. ; arrêt du TF 8C_724/2009 du 11 juin 2010 consid. 5.3.1 ; Good/Bosshard, op. cit., p. 227s. n. 7 ad art. 30 LEtr).</w:t>
      </w:r>
    </w:p>
    <w:p>
      <w:r>
        <w:rPr>
          <w:b/>
        </w:rPr>
        <w:t>E. 3.3</w:t>
      </w:r>
    </w:p>
    <w:p>
      <w:r>
        <w:t>Ainsi qu'il ressort de la formulation de l'art. 30 al. 1 let. b LEtr ("cas individuel d'une extrême gravité"), cette disposition, à l'instar de l'art. 13 let. f OLE ("cas personnel d'extrême gravité"), constitue une disposition dérogatoire présentant un caractère exceptionnel.</w:t>
      </w:r>
    </w:p>
    <w:p>
      <w:r>
        <w:rPr>
          <w:b/>
        </w:rPr>
        <w:t>E. 3.4</w:t>
      </w:r>
    </w:p>
    <w:p>
      <w:r>
        <w:t>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(soit durant sept à huit ans),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ATAF 2007/45 consid. 4.1 à 4.3 p. 589s., ATAF 2007/44 consid. 4.1 et 4.2 p. 578s., ATAF 2007/16 précité consid. 5.1 et 5.2 p. 195s., et la jurisprudence et doctrine citées). 4.En l'espèce, bien que B._______ et C._______ puissent se prévaloir de certaines attaches avec la Suisse au travers des séjours qu'ils y ont effectués dans le cadre de visites à leur fille, l'examen du dossier amène à constater qu'ils n'y ont jamais résidé de manière durable et qu'ils ne peuvent se prévaloir d'aucune intégration (au plan social ou professionnel) dans ce pays. Il convient dès lors d'examiner si les prénommés se trouvent, pour d'autres raisons, dans une situation de détresse justifiant l'octroi d'une dérogation aux conditions d'admission au sens de l'art. 30 al. 1 let. b LEtr. Pour cela, il y a lieu de se fonder notamment sur leurs relations familiales (en Suisse et dans leur patrie) et sur leur état de santé (cf. ATAF 2007/45 récité consid. 6.3 et 7.1 p. 593s., et la jurisprudence citée). Il ressort à cet égard des informations fournies en cours de procédure que les intéressés sont retraités depuis 2005, qu'ils sont en bonne santé, qu'ils disposent d'autres membres de leur famille (un frère et deux soeurs) dans leur pays, que leur situation financière est confortable et qu'ils ne sont en proie à aucune difficulté particulière dans leur patrie. La recourante a ainsi motivé la demande d'autorisation de séjour déposée en faveur de ses parents par le souhait, outre de vivre avec eux, de pouvoir leur venir en aide en cas d'urgence. Or, c'est ici le lieu de rappeler que, selon la jurisprudence, une dérogation aux conditions d'admission n'a pas pour but de soustraire des étrangers aux conditions de vie de leur pays d'origine, mais implique que ceux-ci se trouvent personnellement dans une situation particulièrement rigoureuse. On ne saurait ainsi tenir compte des circonstances générales (économiques, sociales, sanitaires) affectant l'ensemble de la population restée sur place, auxquelles la personne concernée est également exposée, sauf si celle-ci allègue d'importantes difficultés concrètes propres à son cas particulier (telles, par exemple, une maladie grave ne pouvant être soignée qu'en Suisse [cf. ATAF 2007/44 consid. 5.3 p. 582s. et ATAF 2007/45 consid. 7.6 p. 597s.]), ce qui n'est pas le cas en l'espèce. En l'espèce, il n'apparaît nullement que la situation des parents de la recourante au Sri Lanka présenterait un caractère de détresse qui placerait les intéressés dans des conditions d'existence plus difficiles que la plupart de leurs compatriotes résidant sur place. De plus, les moyens financiers dont ils se sont prévalus paraissent susceptibles d'assurer sans problème leur existence dans leur pays. Le Tribunal relève par ailleurs que le fait que la présence en Suisse de ses parents permettrait à la recourante de leur confier en partie la garde de ses enfants ne constitue pas davantage un motif pertinent susceptible de justifier la venue en Suisse des intéressés (cf. à cet l'arrêt du Tribunal fédéral 2A.30/2004 du 23 janvier 2004 consid. 2.3 in fine). Il s'impose de constater enfin que la décision attaquée ne constitue nullement un obstacle aux relations familiales entretenues par les intéressés avec leur fille établie en Suisse, qu'ils pourront continuer à visiter dans le cadre de séjours touristiques. Le Tribunal rappelle au surplus que les arguments développés par la recourante en relation avec l'art. 28 LEtr n'ont pas à être examinés dans le cadre de la présente procédure, eu égard à l'objet du litige défini au considérant 1.5 supra. Il demeure toutefois loisible aux intéressés de solliciter auprès des autorités cantonales l'octroi d'une autorisation de séjour fondée sur la disposition précitée. En conséquence, après une appréciation de l'ensemble des circonstances afférentes à la présente cause, le TAF, à l'instar de l'autorité de première instance, parvient à la conclusion que la situation de B._______ et C._______ ne remplit pas les conditions pour la reconnaissance de cas individuels d'une extrême gravité au sens de l'art. 30 al. 1 let. b LEtr. 5.Il ressort de ce qui précède que, par sa décision du 5 mars 2010, l'ODM n'a pas violé le droit fédéral, ni constaté des faits pertinents de manière inexacte ou incomplète; en outre la décision attaquée n'est pas inopportune (cf. art. 49 PA). Le recours est en conséquence rejeté, dans la mesure où il est recevable. Compte tenu de l'issue de la cause, les frais de procédure sont mis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