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C-2199/2014 vom 16. Juni 2014</w:t>
      </w:r>
    </w:p>
    <w:p>
      <w:r>
        <w:t>Bundesverwaltungsgericht, 2014-06-16, DE</w:t>
      </w:r>
    </w:p>
    <w:p>
      <w:r>
        <w:rPr>
          <w:b/>
        </w:rPr>
        <w:t xml:space="preserve">Quelle: </w:t>
      </w:r>
      <w:r>
        <w:t>https://mcp.opencaselaw.ch/entscheid/bvger_C-2199_2014</w:t>
      </w:r>
    </w:p>
    <w:p>
      <w:r>
        <w:t>FR: TAF C-2199/2014 du 16 juin 2014</w:t>
      </w:r>
    </w:p>
    <w:p>
      <w:r>
        <w:t>IT: TAF C-2199/2014 del 16 giugno 2014</w:t>
      </w:r>
    </w:p>
    <w:p>
      <w:pPr>
        <w:pStyle w:val="Heading2"/>
      </w:pPr>
      <w:r>
        <w:t>Regeste</w:t>
      </w:r>
    </w:p>
    <w:p>
      <w:r>
        <w:t>Invalidenversicherung (Übriges)</w:t>
      </w:r>
    </w:p>
    <w:p>
      <w:pPr>
        <w:pStyle w:val="Heading2"/>
      </w:pPr>
      <w:r>
        <w:t>Erwägungen</w:t>
      </w:r>
    </w:p>
    <w:p>
      <w:r>
        <w:rPr>
          <w:b/>
        </w:rPr>
        <w:t>E. 1</w:t>
      </w:r>
    </w:p>
    <w:p>
      <w:r>
        <w:t>Die Beschwerde wird gutgeheissen und die Verfügung vom 2. April 2014 wird aufgehoben.</w:t>
      </w:r>
    </w:p>
    <w:p>
      <w:r>
        <w:rPr>
          <w:b/>
        </w:rPr>
        <w:t>E. 2</w:t>
      </w:r>
    </w:p>
    <w:p>
      <w:r>
        <w:t>Die Sache wird an die Vorinstanz zurückgewiesen mit der Weisung, die Abklärung der wirtschaftlichen und medizinischen Verhältnisse im Sinne der Erwägungen fortzusetzen und das Gesuch des Beschwerdeführers materiell zu prüfen.</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(Einschreiben mit Rückschein) - die Vorinstanz (Ref-Nr. _______) - das Bundesamt für Sozialversicherungen Für die Rechtsmittelbelehrung wird auf die nachfolgende Seite verwiesen. Der Einzelrichter: Der Gerichtsschreiber: David Weiss Roland Hochreutener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