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C-2196/2014 vom 23. September 2014</w:t>
      </w:r>
    </w:p>
    <w:p>
      <w:r>
        <w:t>Bundesverwaltungsgericht, 2014-09-23, FR</w:t>
      </w:r>
    </w:p>
    <w:p>
      <w:r>
        <w:rPr>
          <w:b/>
        </w:rPr>
        <w:t xml:space="preserve">Quelle: </w:t>
      </w:r>
      <w:r>
        <w:t>https://mcp.opencaselaw.ch/entscheid/bvger_C-2196_2014</w:t>
      </w:r>
    </w:p>
    <w:p>
      <w:r>
        <w:t>FR: TAF C-2196/2014 du 23 septembre 2014</w:t>
      </w:r>
    </w:p>
    <w:p>
      <w:r>
        <w:t>IT: TAF C-2196/2014 del 23 settembre 2014</w:t>
      </w:r>
    </w:p>
    <w:p>
      <w:pPr>
        <w:pStyle w:val="Heading2"/>
      </w:pPr>
      <w:r>
        <w:t>Regeste</w:t>
      </w:r>
    </w:p>
    <w:p>
      <w:r>
        <w:t>Cotisations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non réalisées en l'espèce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litige porte en l'espèce sur le droit de la recourante à une rente de veuve de l'assurance-vieillesse et survivants suisse.</w:t>
      </w:r>
    </w:p>
    <w:p>
      <w:r>
        <w:rPr>
          <w:b/>
        </w:rPr>
        <w:t>E. 3.1</w:t>
      </w:r>
    </w:p>
    <w:p>
      <w:r>
        <w:t>L'accord entre la Suisse et la Communauté européenne et ses Etats membres sur la libre circulation des personnes du 21 juin 1999 (ALCP, RS 0.142.112.681), dont l'annexe II règle la coordination des systèmes de sécurité sociale, est entré en vigueur le 1er juin 2002.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La recourante et feu son époux étant citoyens d'un Etat membre de la Communauté européenne et la décision contestée, qui concerne une prestation de survivant, datant du 31 mars 2014, ces règlements sont applicables in casu (art. 2 et 3 al. 1 let. e du règlement (CE) n° 883/2004). Conformément à l'art. 4 du règlement (CE)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3.2</w:t>
      </w:r>
    </w:p>
    <w:p>
      <w:r>
        <w:t>Par ailleurs, le droit matériel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136 V 24 consid. 4.3, ATF 130 V 445 consid. 1.2, ATF 129 V 1 consid. 1.2). Il s'ensuit que le droit à une rente de veuve doit être examiné en l'espèce au regard de la LAVS et de son règlement d'application dans leur teneur en vigueur jusqu'au 31 mars 2014. Sauf indication contraire, les dispositions citées ci-après sont celles en vigueur au 1er janvier 2014.</w:t>
      </w:r>
    </w:p>
    <w:p>
      <w:r>
        <w:rPr>
          <w:b/>
        </w:rPr>
        <w:t>E. 4</w:t>
      </w:r>
    </w:p>
    <w:p>
      <w:r>
        <w:t>Selon le droit suisse, 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Conformément à l'art. 29ter al. 2 LAVS,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précité.</w:t>
      </w:r>
    </w:p>
    <w:p>
      <w:r>
        <w:rPr>
          <w:b/>
        </w:rPr>
        <w:t>E. 5</w:t>
      </w:r>
    </w:p>
    <w:p>
      <w:r>
        <w:t>Pour chaque assuré tenu de payer des cotisations sont établis des comptes individuels où sont portées les indications nécessaires au calcul des rentes ordinaires (art. 30ter al. 1 LAVS et 133 ss RAVS). Conformément à l'art. 140 al. 1 RAVS, les comptes individuels doivent indiquer en particulier l'année de cotisations et la durée de cotisations indiquées en mois, ainsi que le revenu annuel en francs. Lors de la fixation des rentes, les caisses de compensation doivent se fonder sur les indications contenues dans les comptes individuels.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130 V 335 consid. 4.1,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n'y suffit pas (arrêt du Tribunal fédéral I 401/05 du 17 juillet 2006 consid. 3, ATF 130 V 335 consid. 4.1 et les références).</w:t>
      </w:r>
    </w:p>
    <w:p>
      <w:r>
        <w:rPr>
          <w:b/>
        </w:rPr>
        <w:t>E. 6</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Pierre Moor, Droit administratif, vol. II, 3e éd., Berne 2011, ch. 2.2.6.3).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leurs allégations (ATF 117 V 261, ATF 116 V 23, ATF 115 V 133 consid. 8a et les références, ATF 114 Ia 114 p. 127). Ainsi en va-t-il de la règle en matière de preuve posée à l'art. 141 al. 3 RAVS.</w:t>
      </w:r>
    </w:p>
    <w:p>
      <w:r>
        <w:rPr>
          <w:b/>
        </w:rPr>
        <w:t>E. 7</w:t>
      </w:r>
    </w:p>
    <w:p>
      <w:r>
        <w:t>En l'espèce, l'autorité inférieure, suite à la demande de rente déposée par la recourante, n'a trouvé, au nom de feu B._______, aucun revenu soumis à cotisations, aucune mention de versement de cotisations à l'assurance vieillesse et survivants suisse, ni même aucun enregistrement de feu B._______ auprès de cette assurance. Elle a estimé, notamment sur la base des documents fournis par l'intéressée, que feu B._______, lors de sa période d'activité auprès de Y._______ SA, ne remplissait pas les conditions d'assujettissement à l'AVS suisse et n'était donc pas assuré en Suisse, n'étant pas domicilié dans ce pays et n'y exerçant pas son activité lucrative pendant cette période. Enfin, les bulletins de paie transmis par la recourante, au nom de feu son époux, ne démontreraient aucune déduction de cotisations en faveur de l'AVS. A la lecture des pièces au dossier, le Tribunal de céans ne saurait s'écarter des conclusions de l'autorité inférieure. Il ressort en effet des documents produits par la recourante que si feu B._______ a bel et bien conclu, avec la société Y._______ SA, sise en Suisse, un contrat de travail pour une activité débutant le 6 avril 1982, les bulletins de paie mensuels établis par cette société au nom de feu B._______ ne présentent toutefois aucune retenue correspondant aux cotisations à l'AVS suisse. On observe ainsi des retenues en faveur de Z._______, laquelle, comme l'indique le certificat d'admission à l'assurance de feu B._______, fourni par la recourante, est une compagnie [...] d'assurances sur la vie, sise en France, et des retenues en faveur d'un fonds de pension qui ne saurait être assimilé à l'AVS suisse, retenues que l'on retrouve ensuite dans les documents intitulés "Individual Pension Account", au nom de feu B._______. Par ailleurs, comme le relève la CSC, les taux des retenues figurant sur les bulletins de paie (sauf exception, 4% et 6%) ne correspondent pas au taux de cotisations à l'AVS suisse (4.2% perçu sur le revenu provenant d'une activité dépendante [art. 5 al. 1 LAVS]). On peut relever au surplus que selon l'attestation concernant la carrière d'assurance en France de feu B._______ (CSC doc 1), ce dernier présente quatre trimestres d'assurance en France pour les années 1982 et 1985 à tout le moins, alors qu'il était à cette époque-là embauché par la société Y._______ SA; ceci constitue un indice de contributions à la sécurité sociale française plutôt qu'à l'AVS suisse pendant la période en question. Force est de constater par conséquent l'absence de toute preuve de cotisations AVS retenues sur les revenus de l'activité professionnelle exercée par feu B._______. Or, il convient de rappeler qu'établir l'exercice d'une activité lucrative salariée en Suisse ne suffit pas à déterminer une durée de cotisations à l'AVS suisse; il faut, pour pouvoir porter en compte une durée de cotisations susceptible d'ouvrir le droit à une rente, apporter la preuve stricte qu'un employeur a effectivement retenu des cotisations AVS sur les revenus versés (voir supra consid. 5).</w:t>
      </w:r>
    </w:p>
    <w:p>
      <w:r>
        <w:rPr>
          <w:b/>
        </w:rPr>
        <w:t>E. 8</w:t>
      </w:r>
    </w:p>
    <w:p>
      <w:r>
        <w:t>Au vu ce qui précède, c'est à juste titre que l'autorité inférieure a rejeté la demande de rente de survivants de la recourante. Le recours, manifestement mal fondé, doit être rejeté et la décision sur opposition du 31 mars 2014 confirmée par le juge statuant comme juge unique, en application de l'art. 85bis al. 3 LAVS.</w:t>
      </w:r>
    </w:p>
    <w:p>
      <w:r>
        <w:rPr>
          <w:b/>
        </w:rPr>
        <w:t>E. 9</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