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C-2193/2014 vom 30. September 2016</w:t>
      </w:r>
    </w:p>
    <w:p>
      <w:r>
        <w:t>Bundesverwaltungsgericht, 2016-09-30, FR</w:t>
      </w:r>
    </w:p>
    <w:p>
      <w:r>
        <w:rPr>
          <w:b/>
        </w:rPr>
        <w:t xml:space="preserve">Quelle: </w:t>
      </w:r>
      <w:r>
        <w:t>https://mcp.opencaselaw.ch/entscheid/bvger_C-2193_2014</w:t>
      </w:r>
    </w:p>
    <w:p>
      <w:r>
        <w:t>FR: TAF C-2193/2014 du 30 septembre 2016</w:t>
      </w:r>
    </w:p>
    <w:p>
      <w:r>
        <w:t>IT: TAF C-2193/2014 del 30 settembre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 En vertu de l'art. 29 al. 1 LAI le droit à la rente prend naissance au plus tôt à l'échéance d'une période de six mois à compter de la date à laquelle l'assuré a fait valoir son droit aux prestations conformément à l'art. 29 al. 1 LPGA. En l'espèce, le Tribunal peut se limiter à examiner si la recourante remplissait les conditions d'octroi de prestations depuis le 1er mars 2014 (art. 29 al. 1 LAI, cf. la demande de prestations d'invalidité déposée le 3 septembre 2013 [pce 4]) jusqu'au 18 mars 2014, date de la décision attaquée marquant la limite dans le temps du pouvoir d'examen de l'autorité de recours (ATF 129 V 1 consid. 1.2).</w:t>
      </w:r>
    </w:p>
    <w:p>
      <w:r>
        <w:rPr>
          <w:b/>
        </w:rPr>
        <w:t>E. 2.2</w:t>
      </w:r>
    </w:p>
    <w:p>
      <w:r>
        <w:t>La procédure dans le domaine des assurances sociales fait prévaloir la maxime inquisitoriale (art. 43 LPGA). Le TAF définit les faits et apprécie les preuves d'office et librement (art. 12 PA). Il applique le droit d'office, sans être lié par les motifs invoqués par les parties (art. 62 al. 4 PA),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3.1</w:t>
      </w:r>
    </w:p>
    <w:p>
      <w:r>
        <w:t>L'affaire présente un aspect transfrontalier dans la mesure où la recourante est ressortissante espagnole domiciliée en Espagne.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 Etat membre » au sens des règlements de coordination (art. 1er al. 2 de l'annexe II de l'ALCP).</w:t>
      </w:r>
    </w:p>
    <w:p>
      <w:r>
        <w:rPr>
          <w:b/>
        </w:rPr>
        <w:t>E. 3.2</w:t>
      </w:r>
    </w:p>
    <w:p>
      <w:r>
        <w:t>Depuis le 1er avril 2012 les parties contractantes appliquent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Dans son champ d'application, le règlement n° 883/2004 se substitue à toute convention de sécurité sociale applicable entre les États membres. Toutefois, certaines dispositions de conventions de sécurité sociale que les États membres ont conclues avant la date d'application du présent règlement restent applicables, pour autant notamment qu'elles soient plus favorables pour les bénéficiaires (art. 8 du règlement n° 883/2004) et que ceux-ci aient exercé leur droit à la libre circulation avant l'entrée en vigueur de l'ALCP (ATF 133 V 329 consid. 8.6).</w:t>
      </w:r>
    </w:p>
    <w:p>
      <w:r>
        <w:rPr>
          <w:b/>
        </w:rPr>
        <w:t>E. 3.3</w:t>
      </w:r>
    </w:p>
    <w:p>
      <w:r>
        <w:t>Selon l'art. 4 du règlement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3.5</w:t>
      </w:r>
    </w:p>
    <w:p>
      <w:r>
        <w:t>De jurisprudence constante, l'octroi d'une rente étrangère d'invalidité ne préjuge pas l'appréciation de l'invalidité selon la loi suisse (ATF 130 V 253 consid. 2.4; arrêt du TF I 435/02 consid. 2 du 4 février 2003). Même après l'entrée en vigueur de l'ALCP, le degré d'invalidité d'un assuré qui prétend à une rente de l'assurance-invalidité suisse est déterminé exclusivement d'après le droit suisse (ATF 130 V 253 consid. 2.4). Cela étant, la documentation médicale et administrative fournie par les institutions de sécurité sociale d'un autre Etat membre doit être prise en considération (art. 49 al. 2 du règlement 987/2009).</w:t>
      </w:r>
    </w:p>
    <w:p>
      <w:r>
        <w:rPr>
          <w:b/>
        </w:rPr>
        <w:t>E. 4</w:t>
      </w:r>
    </w:p>
    <w:p>
      <w:r>
        <w:t>L'objet de la contestation est le bien-fondé du refus par l'OAIE du droit à des prestations de l'assurance-invalidité, en l'occurrence le droit à une rente, au motif que l'assurée ne présente pas d'invalidité au sens de la loi eu égard à sa capacité de travail entière dans son activité d'agricultrice indépendante malgré l'atteinte à la santé.</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6.3</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Meyer/Reichmuth, Bundesgesetz über die Invalidenversicherung [IV], 3e éd. 2014, art. 28 n° 32). - au terme de cette année, il est invalide (art. 8 LPGA) à 40 % au moins (let. c).</w:t>
      </w:r>
    </w:p>
    <w:p>
      <w:r>
        <w:rPr>
          <w:b/>
        </w:rPr>
        <w:t>E. 6.4</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3.1), la restriction prévue à l'art. 29 al. 4 LAI n'est pas applicable lorsqu'un assuré est un ressortissant suisse ou de l'UE et réside dans l'un des Etats membres de l'UE (ATF 130 V 253 consid. 2.3; art. 4 et 7 du règlement n° 883/04).</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7.1</w:t>
      </w:r>
    </w:p>
    <w:p>
      <w:r>
        <w:t>La recourante a travaillé en dernier lieu en Espagne comme agricultrice indépendante depuis 2007 jusqu'au 22 avril 2013. Dans le questionnaire à l'assuré daté du 5 novembre 2013 elle mentionna deux interruptions de travail du 24 décembre 2012 au 3 juin 2013 et du 7 juin 2013 au 15 juillet 2013, soit une durée d'environ sept mois. A la suite d'un séjour hospitalier de 15 jours en avril-mai 2013 pour cause de fatigue et de trois épisodes de syncope elle déposa le 3 septembre 2013 une demande de prestations d'invalidité suisse.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cf. Michel Valterio, Droit de l'assurance-vieillesse et survivants [AVS] et de l'assurance-invalidité [AI], 2011, n° 2060 ss).</w:t>
      </w:r>
    </w:p>
    <w:p>
      <w:r>
        <w:rPr>
          <w:b/>
        </w:rPr>
        <w:t>E. 7.3</w:t>
      </w:r>
    </w:p>
    <w:p>
      <w:r>
        <w:t>Dans le cadre de la méthode générale et également dans le cadre d'autres méthodes, telle la méthode spécifique pour les personnes sans activité lucrative et la méthode extraordinaire applicable aux indépendants,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 Selon une jurisprudence constante, les données fournies par les médecins constituent un élément utile pour apprécier les conséquences de l'atteinte à la santé et pour déterminer quels travaux on peut encore raisonnablement exiger de l'assuré (ATF 125 V 258 consid. 4; ATF 115 V 133 consid. 2; ATF 114 V 310 consid. 3c; ATF 105 V 156 consid. 1).</w:t>
      </w:r>
    </w:p>
    <w:p>
      <w:r>
        <w:rPr>
          <w:b/>
        </w:rPr>
        <w:t>E. 8.1</w:t>
      </w:r>
    </w:p>
    <w:p>
      <w:r>
        <w:t>Selon l'art. 43 al. 1, 1ère phrase LPGA l'assureur examine les demandes, prend d'office les mesures d'instruction nécessaires et recueille les renseignements dont il a besoin (cf. supra consid. 2.2).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Il appartient à l'autorité compétente d'établir elle-même les faits pertinents dans la mesure où l'exige la correcte application de la loi (cf. ATF 116 V 23).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Au demeurant, l'élément déterminant pour la valeur probante n'est ni l'origine du moyen de preuve ni sa désignation comme rapport ou comme expertise, mais bel et bien son contenu (ATF 125 V 351 consid. 3). En règle générale, l'administration ne pourra pas se départir d'un rapport médical lorsqu'il est établi par des spécialistes reconnus sur la base d'observations approfondies et d'investigations complètes et en pleine connaissance du dossier et lorsqu'aucun indice concret ne permet de douter de son bien-fondé (voir spéc. Valterio, op. cit., n° 2891 ss). La valeur probante d'une expertise est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w:t>
      </w:r>
    </w:p>
    <w:p>
      <w:r>
        <w:rPr>
          <w:b/>
        </w:rPr>
        <w:t>E. 8.3</w:t>
      </w:r>
    </w:p>
    <w:p>
      <w:r>
        <w:t>La jurisprudence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le juge est tenu d'examiner si elle est propre à mettre en doute, sur les points litigieux importants, l'opinion et les conclusions de l'expert mandaté (ATF 125 V 351 consid. 3b/dd et les références citées). Le simple fait qu'un avis médical divergent - même émanant d'un spécialiste - ait été produit ne suffit toutefois pas à lui seul à remettre en cause la valeur probante d'un rapport médical (arrêt du TF U 365/06 du 26 janvier 2007 consid. 4.1).</w:t>
      </w:r>
    </w:p>
    <w:p>
      <w:r>
        <w:rPr>
          <w:b/>
        </w:rPr>
        <w:t>E. 8.4</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arrêts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w:t>
      </w:r>
    </w:p>
    <w:p>
      <w:r>
        <w:rPr>
          <w:b/>
        </w:rPr>
        <w:t>E. 8.5</w:t>
      </w:r>
    </w:p>
    <w:p>
      <w:r>
        <w:t>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9.1</w:t>
      </w:r>
    </w:p>
    <w:p>
      <w:r>
        <w:t>En l'espèce, dans le cadre de son hospitalisation de 15 jours en avril-mai 2013 en raison d'une fatigue et de trois brefs épisodes de syncope, dans le cadre de son interruption de travail du 24 décembre 2012 au 15 juillet 2013, l'intéressée a subi divers investigations dont il est résulté un status complètement normal, des examens du sang et biochimiques normaux, des troponines normales, un examen radiologique du thorax normal, un ECG sans signe suggérant une ischémie, une coronographie complètement normale. Le rapport d'hospitalisation du 23 avril au 8 mai 2013 posa le diagnostic de fatigue associée à des bêtabloquants, d'hypertension artérielle et d'arthrite rhumatoïde.</w:t>
      </w:r>
    </w:p>
    <w:p>
      <w:r>
        <w:rPr>
          <w:b/>
        </w:rPr>
        <w:t>E. 9.2</w:t>
      </w:r>
    </w:p>
    <w:p>
      <w:r>
        <w:t>En août 2013 des examens radiologiques complétèrent le tableau médical de l'intéressée. Ils mirent en évidence diverses atteintes (scoliose, discopathie à plusieurs niveaux) à la colonne lombaire et à la colonne dorsale. Ces atteintes doivent cependant être relativisées eu égard au rapport E 213 du 30 septembre 2013 de la Dre D._______, spécialisation non indiquée, bien documenté qui, ayant fait état des antécédents de pathologie lombaire progressive, d'arthrite rhumatoïde diagnostiquée en 2002, nota les plaintes de douleurs du rachis et des articulations en tant que symptômes incapacitant allégués par l'intéressé, d'inflammation au niveau des carpes, des interphalanges et des rotules sans rigidité matinale, releva une minime scoliose dorsolombaire, une mobilité complète du rachis bien qu'ayant relevé selon un RM cervical du 3 août 2013 (cf. pce 35) notamment une protrusion discale C5-C6, une hernie discale C6-C7, une mobilité complète des membres supérieurs et inférieurs sans inflammation articulaire, sans douleur à la palpation des articulations, une marche normale, des réflexes symétriques, des troncs supra aortiques sans altération (cf. pce 37), une coronographie complètement normale. Ce rapport posa le diagnostic d'arthrite rhumatoïde cliniquement contrôlée par une médication, de discopathie L4-L5, de minime scoliose dorsolombaire, il indiqua sur le plan évolutif une maladie chronique avec possibilité d'exacerbations, il nota des algies ostéoarticulaires avec une balance articulaire complète et sans champs inflammatoires actifs. La Dre D._______ n'indiqua pas de limitations objectives significatives pour des tâches physiques et mentales d'intensité modérée, releva la possibilité d'un travail régulier d'exigence moyenne, dont l'activité précédemment exercée d'agricultrice à plein temps et toutes activités adaptées à plein temps (pce 10). La Dre D._______, qui a examiné l'intéressée le 23 septembre 2013, ne fit pas état d'un éventuel problème thyroïdien, un tel problème n'a pas non plus été évoqué dans le rapport d'hospitalisation du 23 avril au 8 mai 2013 qui indique des examens du sang et biochimiques normaux et la disparition de la fatigue par remplacement du bêtabloquant avec Amlodipine.</w:t>
      </w:r>
    </w:p>
    <w:p>
      <w:r>
        <w:rPr>
          <w:b/>
        </w:rPr>
        <w:t>E. 9.3</w:t>
      </w:r>
    </w:p>
    <w:p>
      <w:r>
        <w:t>Le Dr E._______ de l'OAIE, médecine interne, indiqua dans son rapport du 6 décembre 2013 le diagnostic de lombalgies en relation avec une arthrite rhumatoïde séropositive diagnostiquée il y a 11 ans et de hernies discales sans effets neurologiques. Il nota que l'arthrite rhumatoïde était sous complet contrôle médicamenteux, que les hernies discales documentées étaient sans incidence neurologique et fonctionnelle, que le status orthopédique du dos était complètement normal. Il ne retint en conséquence pas de limitation de la capacité de travail. Il releva à juste titre que ni les données sur le travail effectué dans la petite entreprise de l'assurée ni celles sur les activités dans le ménage étaient compréhensibles. Avec le Dr E._______ il y a lieu de relever que l'activité indiquée par l'assurée de 12 h./jour de travail (84 h./semaine) est très importante pour la grandeur de l'entreprise notamment compte tenu du revenu annuel (Ingressos integros) déclaré de moins de 5'400.- Euros et il sied de relever quelque peu en contradiction que l'intéressée n'a pas dû employer d'autres personnes pour la remplacer (cf. pce 24 p. 11). Le Dr E._______ indiqua partager l'appréciation de l'auteur du rapport E 213 selon lequel l'intéressée disposait d'une pleine capacité de travail et qu'en conséquence sa demande de prestations devait être rejetée. Par ailleurs, il indiqua à titre d'activité adaptée celle d'ouvrière non qualifiée dans une entreprise de production ou fabrique, de vendeuse en général (magasin, centre commercial, kiosk, station-service), de personnel d'enregistrement, classement et archivage, de distribution de courrier interne, de réceptionniste et téléphoniste. Il ne retint pas de limitation dans les activités ménagères.</w:t>
      </w:r>
    </w:p>
    <w:p>
      <w:r>
        <w:rPr>
          <w:b/>
        </w:rPr>
        <w:t>E. 9.4</w:t>
      </w:r>
    </w:p>
    <w:p>
      <w:r>
        <w:t>Vu le rapport E 213 du 30 septembre 2013 de la Dre D._______ concluant à une pleine capacité de travail dans une activité physique et mentale modérée, dont l'activité exercée par l'intéressée, relativisant celui de la Dre Mar Serrano du 18 septembre 2013 qui ne s'est cependant pas exprimée sur la capacité de travail de l'intéressée, et l'avis du Dr E._______ n'ayant pas retenu de limitation dans la capacité de travail dans l'activité habituelle et également une pleine capacité de travail dans une activité adaptée, le Tribunal de céans peut confirmer la décision de l'OAIE de rejet de rente pour la période à examiner jusqu'à la date de la décision attaquée. Il sied de souligner que l'intéressée a indiqué dans le questionnaire à l'assurée rempli le 5 novembre 2013 exercer toujours une activité d'agricultrice et avoir dû interrompre celle-ci du 24 décembre 2012 au 3 juin 2013 et du 7 juin 2013 au 15 juillet 2013, soit pendant sept mois. Elle n'a cependant pas indiqué ne plus avoir travaillé après le 15 juillet 2013 ni produit des actes médicaux permettant d'inférer qu'elle n'avait pas continué son activité d'agricultrice reprise - selon ses indications dans le questionnaire du 5 novembre 2013 - après les périodes d'interruption de travail.</w:t>
      </w:r>
    </w:p>
    <w:p>
      <w:r>
        <w:rPr>
          <w:b/>
        </w:rPr>
        <w:t>E. 10</w:t>
      </w:r>
    </w:p>
    <w:p>
      <w:r>
        <w:t>Vu ce qui précède le recours doit être rejeté et la décision attaquée confirmée, l'assurée n'ayant pas présenté depuis le 1er mars 2013 (6 mois avant le dépôt de la demande de prestations d'invalidité) jusqu'au 18 mars 2014 (date de la décision attaquée) une incapacité de travail d'une année au moins dans son activité habituelle sans interruption notable entraînant une incapacité de gain égale ou supérieure à 40% au terme d'une année.</w:t>
      </w:r>
    </w:p>
    <w:p>
      <w:r>
        <w:rPr>
          <w:b/>
        </w:rPr>
        <w:t>E. 11.1</w:t>
      </w:r>
    </w:p>
    <w:p>
      <w:r>
        <w:t>Vu l'issue de la procédure, les frais de celle-ci, fixés à 400 francs, sont mis à la charge de la recourante (art. 63 al. 1 PA, applicable par le truchement de l'art. 37 LTAF). Ils sont compensés par l'avance de frais du même montant dont elle s'est acquittée au cours de l'instruction.</w:t>
      </w:r>
    </w:p>
    <w:p>
      <w:r>
        <w:rPr>
          <w:b/>
        </w:rPr>
        <w:t>E. 11.2</w:t>
      </w:r>
    </w:p>
    <w:p>
      <w:r>
        <w:t>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