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C-218/2010 vom 11. Januar 2011</w:t>
      </w:r>
    </w:p>
    <w:p>
      <w:r>
        <w:t>Bundesverwaltungsgericht, 2011-01-11, DE</w:t>
      </w:r>
    </w:p>
    <w:p>
      <w:r>
        <w:rPr>
          <w:b/>
        </w:rPr>
        <w:t xml:space="preserve">Quelle: </w:t>
      </w:r>
      <w:r>
        <w:t>https://mcp.opencaselaw.ch/entscheid/bvger_C-218_2010</w:t>
      </w:r>
    </w:p>
    <w:p>
      <w:r>
        <w:t>FR: TAF C-218/2010 du 11 janvier 2011</w:t>
      </w:r>
    </w:p>
    <w:p>
      <w:r>
        <w:t>IT: TAF C-218/2010 del 11 gennaio 2011</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mit denen die Erteilung eines Schengenvisums zu Besuchszwecken verweigert wird. In dieser Materie entscheidet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Die Beschwerdeführerin ist gemäss Art. 48 Abs. 1 VwVG zur Be­schwerde berechtigt.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w:t>
      </w:r>
    </w:p>
    <w:p>
      <w:r>
        <w:rPr>
          <w:b/>
        </w:rPr>
        <w:t>E. 4</w:t>
      </w:r>
    </w:p>
    <w:p>
      <w:r>
        <w:t>Die inländischen Bestimmungen über das Visumverfahren und über die Ein- und Ausreise finden Anwendung, sofern die Schengen-Assozi­ierungsabkommen keine abweichenden Bestimmungen enthalten (vgl. Art. 2 Abs. 4 und 5 des Bundesgesetzes vom 16. Dezember 2005 über die Ausländerinnen und Ausländer [AuG, SR 142.20]).</w:t>
      </w:r>
    </w:p>
    <w:p>
      <w:r>
        <w:rPr>
          <w:b/>
        </w:rPr>
        <w:t>E. 5.1</w:t>
      </w:r>
    </w:p>
    <w:p>
      <w:r>
        <w:t>Angehörige von Drittstaaten benötigen zur Einreise in die Schweiz bzw. den Schengenraum für einen Aufenthalt von höchstens drei Mo­naten gültige Reisedokumente, die zum Grenzübertritt berechtigen, und ein Visum, sofern dieses erforderlich ist (vgl. Art. 5 Abs. 1 Bst. a AuG sowie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und Art. 2 der Verordnung [EU] Nr. 265/2010 des Europäischen Parlaments und des Rates vom 25. März 2010 zur Änderung des Übereinkommens zur Durchführung des Überein­kommens von Schengen und der Ver­ordnung [EG] Nr. 562/2006 in Bezug auf den Verkehr von Personen mit einem Visum für einen länger­fristigen Aufenthalt [ABl. L 85 vom 31.03.2010, S. 1-4]).</w:t>
      </w:r>
    </w:p>
    <w:p>
      <w:r>
        <w:rPr>
          <w:b/>
        </w:rPr>
        <w:t>E. 5.2</w:t>
      </w:r>
    </w:p>
    <w:p>
      <w:r>
        <w:t>Im Weiteren müssen Drittstaatsangehörige den Zweck und die Um­stände ihres beabsichtigten Aufenthalts belegen und hierfür über aus­reichende finanzielle Mittel verfügen (Art. 5 Abs. 1 Bst. b AuG, Art. 5 Abs. 1 Bst. c SGK und Art. 14 Abs. 1 Bst. a-c der Verordnung [EG] Nr. 810/2009 des Europäischen Parlaments und des Rates vom 13. Juli 2009 über einen Visakodex der Gemeinschaft [nachfolgend: Visakodex, ABl. L 243 vom 15.09.2009, S. 1-58]). Namentlich haben sie zu belegen, dass sie den Schengenraum vor Ablauf der Gültigkeitsdauer des beantragten Visums wieder verlassen, bzw. Gewähr für ihre fristgerechte Wiederausreise zu bieten (Art. 14 Abs. 1 Bst. d und Art. 21 Abs. 1 Visakodex sowie Art. 5 Abs. 2 AuG). Weiterhin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6</w:t>
      </w:r>
    </w:p>
    <w:p>
      <w:r>
        <w:t>Werden die Voraussetzungen für die Ausstellung eines für den Schengen­raum einheitlichen Visums nicht erfüllt, so kann in Ausnahmefällen ein Visum mit räumlich beschränkter Gültigkeit erteilt werden. Unter anderem kann der betreffende Mitgliedstaat von dieser Möglichkeit Gebrauch machen, wenn er es aus humanitären Gründen, aus Gründen des nationalen Interesses oder aufgrund internationaler Verpflichtungen für erforderlich hält (vgl. zum Ganzen Art. 25 Abs. 1 Bst. a Visakodex; ebenso Art. 5 Abs. 4 Bst. c SGK).</w:t>
      </w:r>
    </w:p>
    <w:p>
      <w:r>
        <w:rPr>
          <w:b/>
        </w:rPr>
        <w:t>E. 7</w:t>
      </w:r>
    </w:p>
    <w:p>
      <w:r>
        <w:t>Anhang I zur Verordnung (EG) Nr. 539/2001 des Rates vom 15. März 2001 listet diejenigen Staaten auf, deren Staats­angehörige beim Überschreiten der Aussengrenzen der Schengen-Mitgliedstaaten im Besitze eines Visums sein müssen (ABl. L 81 vom 21.03.2001, S. 1-7, zum vollständigen Quellennachweis vgl. Fussnote zu Art. 4 Abs. 1 VEV). Da Sri Lanka zu diesen Staaten zählt, unterliegt die Be­schwerdeführerin der Visumpflicht.</w:t>
      </w:r>
    </w:p>
    <w:p>
      <w:r>
        <w:rPr>
          <w:b/>
        </w:rPr>
        <w:t>E. 8.1</w:t>
      </w:r>
    </w:p>
    <w:p>
      <w:r>
        <w:t>Zur Prüfung des Kriteriums der gesicherten Wie­derausreise muss ein zukünftiges Verhalten beurteilt werden. Dazu lassen sich in der Re­gel keine gesicherten Feststellungen, sondern lediglich Prognosen treffen. Dabei sind sämtliche Umstände des konkreten Einzelfalles zu würdigen.</w:t>
      </w:r>
    </w:p>
    <w:p>
      <w:r>
        <w:rPr>
          <w:b/>
        </w:rPr>
        <w:t>E. 8.2</w:t>
      </w:r>
    </w:p>
    <w:p>
      <w:r>
        <w:t>Anhaltspunkte zur Beurteilung der Gewähr für eine fristgerechte Wiederausreise können sich aus der allgemeinen Situation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8.3.1</w:t>
      </w:r>
    </w:p>
    <w:p>
      <w:r>
        <w:t>Die soziokulturelle Situation Sri Lankas ist noch immer durch den - mit Unter­bre­chun­gen - 26 Jahre währenden und erst im Mai 2009 been­de­ten Bürger­krieg geprägt. Der tamilische Norden und Osten des Lan­des sind in ihrer Entwicklung zurückgeworfen und beim wirtschaft­lichen Wieder­aufbau sowohl auf erhebliche Hilfe der eigenen Regie­rung als auch auf inter­nationale Unterstützung ange­wiesen. Von den rund 300'000 Binnenflüchtlingen, die in den letzten Monaten des Bür­ger­kriegs im kontinuierlich schrumpfenden Kampfgebiet ein­ge­schlos­sen waren und danach zwangsweise in Lagern unter­gebracht wurden, konnten bei weitem noch nicht alle an ihre Heimatorte zurück­kehren. Viele halten sich weiterhin in mittlerweile offenen Lagern, ein grosser Teil auch bei Gastfamilien auf. Ihre Rücksiedlung in die Heimatorte gehört zu den vordringlichsten innen­politischen Aufgaben. Zudem hat das Ende des Bürger­kriegs die Dis­kussion um eine politische Lösung für den ethnischen Konflikt zwischen der singhalesischen Bevölkerungsmehrheit und der sich diskriminiert fühlenden tamilischen Minderheit wiederentfacht. Derzeit scheint eine solche Lösung jedoch noch in weiter Ferne zu liegen, nicht zuletzt auch deshalb, weil der amtierende Präsident zwar eine Mitsprachemöglichkeit der tamilischen Bevölkerung in Regierungsfragen in Aussicht gestellt, bis anhin aber nicht umgesetzt hat (Quellen: Deutsches Auswärtiges Amt, http://www.auswaertiges-amt.de Länder, Reisen und Sicherheit Sri Lanka Innenpolitik, Stand: April 2010, besucht im Dezember 2010; Rainer Mattern, Schweizeri­sche Flüchtlingshilfe, Sri Lanka: Aktuelle Situation, Update vom 1. Dezember 2010, S. 1).</w:t>
      </w:r>
    </w:p>
    <w:p>
      <w:r>
        <w:rPr>
          <w:b/>
        </w:rPr>
        <w:t>E. 8.3.2</w:t>
      </w:r>
    </w:p>
    <w:p>
      <w:r>
        <w:t>Die schwierige Lage des Landes spiegelt sich auch in der schweizerischen Asylstatistik wider, in der Personen aus Sri Lanka im Jahre 2009 mit 1'415 Gesuchen (+12,1% gegenüber dem Vorjahr) die drittgrösste Gruppe, und in den ersten drei Quartalen 2010 mit 244, 229 und 221 Gesuchen jeweils die viertgrösste Gruppe von Asylsuchenden stell­ten (vgl. kommentierte Asylstatistik 2009 des BFM, S. 3 und 10 sowie kommentierte Asylstatistiken des BFM 1., 2. und 3. Quartal 2010 je S. 2; im Internet unter: &lt;http://www.bfm.admin.ch&gt; Themen &gt; Statistiken).</w:t>
      </w:r>
    </w:p>
    <w:p>
      <w:r>
        <w:rPr>
          <w:b/>
        </w:rPr>
        <w:t>E. 8.3.3</w:t>
      </w:r>
    </w:p>
    <w:p>
      <w:r>
        <w:t>Vor dem Hintergrund des erst vor eineinhalb Jahren beendeten Bürgerkriegs in Sri Lanka und der grossen Anzahl Asylsuchender aus diesem Staat ist die Beurteilung der Vorinstanz, die das Risiko einer nicht fristgerechten Wiederausreise als hoch einschätzte, grundsätzlich nicht zu beanstanden. Nun entbindet die Einschätzung der allgemeinen Situation zwar nicht von einer einzelfallbezogenen Beurteilung der persönlichen Verhältnisse. Es versteht sich aber von selbst, dass vergleichsweise hohe Anforderungen zu setzen sind, wenn es darum geht, eine besondere persönliche, familiäre oder berufliche Verwurzelung darzutun, welche das generell anzunehmende Risiko entscheidend zu relativieren vermag.</w:t>
      </w:r>
    </w:p>
    <w:p>
      <w:r>
        <w:rPr>
          <w:b/>
        </w:rPr>
        <w:t>E. 9.1</w:t>
      </w:r>
    </w:p>
    <w:p>
      <w:r>
        <w:t>Bei der Beschwerdeführerin handelt es sich um eine 22-jährige, ledige und kinderlose Frau. Sie lebt in Panadura, einer Stadt an der Westküste Sri Lankas, südlich von Colombo gelegen. Gemäss eigenen Angaben wohnt sie zusammen mit ihrer Mutter und zwei Schwestern in einem gemeinsamen Haushalt. In der Nähe des Wohn­ortes leben zudem zwei Brüder mit ihren Ehefrauen. Damit dürfte die Beschwerdeführerin zwar vor Ort durchaus ein intaktes familiäres Netz und enge familiäre Bindungen haben. Eigentliche Verpflichtungen persönlicher oder familiärer Natur, welche die Prognose einer frist­gerechten und anstandslosen Wiederausreise begünstigen könnten, sind bei ihr aber keine erkennbar und wurden auch nicht geltend ge­macht.</w:t>
      </w:r>
    </w:p>
    <w:p>
      <w:r>
        <w:rPr>
          <w:b/>
        </w:rPr>
        <w:t>E. 9.2</w:t>
      </w:r>
    </w:p>
    <w:p>
      <w:r>
        <w:t>Besondere Gewähr für eine anstandslose Wiederausreise macht die Beschwerdeführerin auch im Zusammenhang mit ihren beruflichen Verhältnissen geltend. Im Zeitpunkt der Beschwerdeanhebung arbeitete sie - offenbar noch nicht sehr lange - als Pharmaassistentin in einem medizinischen Zentrum in Panadura. Wie gross ihr Arbeitspensum ist, ergibt sich aus den Akten nicht schlüssig. Gemäss den schriftlichen Auskünften der Gastgeberin gegenüber der Migrationsbehörde des Kantons Aargau soll sie "stundenweise" arbeiten, was gegen eine Vollzeitbeschäftigung spricht. Darüber hinaus ist auch nicht bekannt, welchen Verdienst die Beschwerdeführerin mit ihrer Erwerbstätigkeit erzielt und in welchen wirtschaftlichen Verhältnissen sie und ihre Familienangehörigen leben. Unbesehen davon kann schon deshalb nicht von gefestigten beruflichen Verhältnissen ausgegangen werden, weil die Beschwerdeführerin bereits kurze Zeit nach der Aufnahme ihrer Erwerbstätigkeit ohne zwingenden Grund einen Auslandaufent­halt für die längstmögliche Dauer von drei Monaten plante. An dieser Einschätzung vermag der Umstand nichts zu ändern, dass der Arbeit­geber der Beschwerdeführerin - gemäss den im Gesuchsverfahren und auf Beschwerdeebene eingereichten Bestätigungsschreiben mit identischem Inhalt - einen dreimonatigen Urlaub bewilligt und von einer Rückkehrpflicht an den Arbeitsplatz spricht. Im Falle einer längeren Abwesenheit müsste die Beschwerdeführerin vermutungs­weise den Verlust ihrer Arbeitsstelle in Kauf nehmen, andere Konsequenzen hätte sie jedoch nicht zu befürchten. Alles in allem sind bei der Beschwerdeführerin daher auch in den beruflichen und wirtschaftlichen Verhältnissen keine Besonderheiten erkennbar, welche eine Emigration als unwahrscheinlich erscheinen liessen.</w:t>
      </w:r>
    </w:p>
    <w:p>
      <w:r>
        <w:rPr>
          <w:b/>
        </w:rPr>
        <w:t>E. 9.3</w:t>
      </w:r>
    </w:p>
    <w:p>
      <w:r>
        <w:t>Aus dem Umstand, dass aus ihrer Kernfamilie (Mutter und Geschwister) bisher noch niemand emigriert sein soll, kann die Beschwerdeführerin nichts Besonderes für sich ableiten. Tatsache ist, dass sie erwachsen ist, gegenüber ihrer Familie keine erkennbaren Verpflichtungen hat und schon jetzt eine gewisse wirtschaftliche Selbständigkeit besitzt. Entsprechend frei dürfte sie in ihrer zukünftigen Lebensplanung sein. Ebenfalls nicht entscheidend kann sein, dass die Beschwerdeführerin nicht über genügende Kenntnisse der deutschen und englischen Sprache verfügt. Dieses Handicap dürften die meisten der auswanderungswilligen Landsleute haben und es erweist sich solchermassen nicht als unüberwindbares Hindernis.</w:t>
      </w:r>
    </w:p>
    <w:p>
      <w:r>
        <w:rPr>
          <w:b/>
        </w:rPr>
        <w:t>E. 9.4</w:t>
      </w:r>
    </w:p>
    <w:p>
      <w:r>
        <w:t>Vor dem aufgezeigten Hintergrund konnte die Vorinstanz davon ausgehen, dass keine hinreichende Gewähr für eine fristgerechte und anstandslose Wiederausreise der Beschwerdeführerin nach einem Besuchsaufenthalt besteht. Die Rechtmässigkeit dieser Einschätzung lässt sich auch mit anderslautenden Zusicherungen aus dem persönlichen Umfeld nicht in Frage stellen. Was die Gastgeberin und ihren Sohn betrifft, so ist an deren Integrität und guten Willen sicherlich nicht zu zweifeln. Sie können mit rechtlich verbindlicher Wirkung zwar für bestimmte finanzielle Risiken im Zusammenhang mit dem Besuchsaufenthalt, nicht aber für ein bestimmtes Tun oder Unterlassen ihres Gastes ein­stehen (vgl. in diesem Zusammenhang BVGE 2009/27 E. 9).</w:t>
      </w:r>
    </w:p>
    <w:p>
      <w:r>
        <w:rPr>
          <w:b/>
        </w:rPr>
        <w:t>E. 9.5</w:t>
      </w:r>
    </w:p>
    <w:p>
      <w:r>
        <w:t>Gründe für die Ausstellung eines Visums mit räumlich beschränkter Gültigkeit (vgl. E. 6 vorstehend) wurden von der Beschwerdeführerin nicht geltend gemacht und sind auch sonst nicht ersichtlich.</w:t>
      </w:r>
    </w:p>
    <w:p>
      <w:r>
        <w:rPr>
          <w:b/>
        </w:rPr>
        <w:t>E. 10</w:t>
      </w:r>
    </w:p>
    <w:p>
      <w:r>
        <w:t>Aus vorstehenden Erwägungen folgt, dass die angefochtene Verfügung im Lichte von Art. 49 VwVG nicht zu beanstanden ist. Die Beschwerde ist daher abzuweisen.</w:t>
      </w:r>
    </w:p>
    <w:p>
      <w:r>
        <w:rPr>
          <w:b/>
        </w:rPr>
        <w:t>E. 11</w:t>
      </w:r>
    </w:p>
    <w:p>
      <w:r>
        <w:t>Mit Abweisung der Beschwerde wird die Beschwerdeführerin kosten­pflichtig (Art. 63 Abs. 1 VwVG, Art. 1, 2 und 3 Bst. b des Reglements vom 21. Februar 2008 über die Kosten und Ent­schädigungen vor dem Bundesverwaltungsgericht [SR 173.320.2]). Dispositiv S.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