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C-2188/2013 vom 5. Juli 2016</w:t>
      </w:r>
    </w:p>
    <w:p>
      <w:r>
        <w:t>Bundesverwaltungsgericht, 2016-07-05, DE</w:t>
      </w:r>
    </w:p>
    <w:p>
      <w:r>
        <w:rPr>
          <w:b/>
        </w:rPr>
        <w:t xml:space="preserve">Quelle: </w:t>
      </w:r>
      <w:r>
        <w:t>https://mcp.opencaselaw.ch/entscheid/bvger_C-2188_2013</w:t>
      </w:r>
    </w:p>
    <w:p>
      <w:r>
        <w:t>FR: TAF C-2188/2013 du 5 juillet 2016</w:t>
      </w:r>
    </w:p>
    <w:p>
      <w:r>
        <w:t>IT: TAF C-2188/2013 del 5 luglio 2016</w:t>
      </w:r>
    </w:p>
    <w:p>
      <w:pPr>
        <w:pStyle w:val="Heading2"/>
      </w:pPr>
      <w:r>
        <w:t>Regeste</w:t>
      </w:r>
    </w:p>
    <w:p>
      <w:r>
        <w:t>Rückforderung von Versicherungsleistungen und Erlass</w:t>
      </w:r>
    </w:p>
    <w:p>
      <w:pPr>
        <w:pStyle w:val="Heading2"/>
      </w:pPr>
      <w:r>
        <w:t>Erwägungen</w:t>
      </w:r>
    </w:p>
    <w:p>
      <w:r>
        <w:rPr>
          <w:b/>
        </w:rPr>
        <w:t>E. 1.1</w:t>
      </w:r>
    </w:p>
    <w:p>
      <w:r>
        <w:t>Verfügungen der IVSTA unterliegen der Beschwerde an das Bundesverwaltungsgericht (Art. 69 Abs. 1 Bst. b IVG [SR 831.20]; Art. 31 ff. VGG). Der Beschwerdeführer ist zur Anfechtung legitimiert (Art. 59 ATSG [SR 830.1]). Auf die frist- und formgerechte Beschwerde ist einzutreten (Art. 38 Abs. 4 Bst. a und Art. 60 ATSG; Art. 52 Abs. 1 VwVG).</w:t>
      </w:r>
    </w:p>
    <w:p>
      <w:r>
        <w:rPr>
          <w:b/>
        </w:rPr>
        <w:t>E. 1.2</w:t>
      </w:r>
    </w:p>
    <w:p>
      <w:r>
        <w:t>Das Verfahren richtet sich subsidiär nach dem VwVG, soweit nicht das VGG etwas anderes bestimmt oder Bestimmungen des ATSG bzw. des IVG anwendbar sind (Art. 37 VGG; Art. 3 Bst. dbis VwVG; Art. 1 Abs. 1 IVG). In formell-rechtlicher Hinsicht finden grundsätzlich diejenigen Rechtssätze Anwendung, welche im Zeitpunkt der Beschwerdebeurteilung Geltung haben (vgl. BGE 130 V 1 E. 3.2).</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(Art. 62 Abs. 4 VwVG).</w:t>
      </w:r>
    </w:p>
    <w:p>
      <w:r>
        <w:rPr>
          <w:b/>
        </w:rPr>
        <w:t>E. 2.2</w:t>
      </w:r>
    </w:p>
    <w:p>
      <w:r>
        <w:t>Der Beschwerdeführer ist deutscher Staatsangehöriger. Ungeachtet des Freizügigkeitsabkommens (FZA, SR 0.142.112.681) ist schweizerisches Recht anzuwenden (vgl. Urteil des BVGer C-2088/2013 vom 7. Mai 2015 E. 3 m.H.).</w:t>
      </w:r>
    </w:p>
    <w:p>
      <w:r>
        <w:rPr>
          <w:b/>
        </w:rPr>
        <w:t>E. 3</w:t>
      </w:r>
    </w:p>
    <w:p>
      <w:r>
        <w:t>Unrechtmässig bezogene Leistungen der Invalidenversicherung sind zurückzuerstatten. Wer Leistungen in gutem Glauben empfangen hat, muss sie nicht zurückerstatten, wenn eine grosse Härte vorliegt (Art. 25 Abs. 1 ATSG i.V.m. Art. 1 Abs. 1 IVG). Der Rückforderungsanspruch erlischt mit Ablauf eines Jahres, nachdem die Versicherungseinrichtung davon Kenntnis erhalten hat, spätestens aber mit Ablauf von fünf Jahren nach der Entrichtung der einzelnen Leistung (Art. 25 Abs. 2 ATSG; vgl. Urteil des BGer 8C_630/2015 vom 17. März 2016 E. 4.2.1; Urteil des BGer 8C_632/2015 vom 7. Januar 2016 E. 3; BGE 140 V 521 E. 2.1; 139 V 6 E. 4.1; 138 V 74 E. 5.2 m.H.). Die Festlegung einer (allfälligen) Rückerstattung von Leistungen erfolgt in einem mehrstufigen Verfahren (Art. 2 ff. ATSV [SR 830.11]; Urteil des BVGer C 1503/2015 vom 14. April 2016 E. 3.4 f.; Urteil des BGer 9C_678/2011 vom 4. Januar 2012 E. 5.2 m.H.).</w:t>
      </w:r>
    </w:p>
    <w:p>
      <w:r>
        <w:rPr>
          <w:b/>
        </w:rPr>
        <w:t>E. 4.1</w:t>
      </w:r>
    </w:p>
    <w:p>
      <w:r>
        <w:t>In einem ersten Schritt zu prüfen ist die Rüge des Beschwerdeführers, die Vorinstanz habe die Rückforderungsverfügung ohne Vorbescheidverfahren erlassen und damit seinen Gehörsanspruch verletzt.</w:t>
      </w:r>
    </w:p>
    <w:p>
      <w:r>
        <w:rPr>
          <w:b/>
        </w:rPr>
        <w:t>E. 4.2</w:t>
      </w:r>
    </w:p>
    <w:p>
      <w:r>
        <w:t>Zur durch Art. 29 BV geschützten Verfahrensfairness gehört der in Art. 29 Abs. 2 BV besonders aufgeführte Anspruch auf rechtliches Gehör (vgl. auch Art. 42 Abs. 1 ATSG i.V.m. Art. 1 Abs. 1 IVG). Dieser dient der Sachaufklärung und garantiert den Verfahrensbeteiligten ein persönlichkeitsbezogenes Mitwirkungsrecht. Der verfassungsmässige Anspruch umfasst Rechte der Parteien auf Teilnahme am Verfahren und auf Einflussnahme auf den Prozess der Entscheidfindung. Dazu gehört auch das Recht, mit erheblichen Beweisanträgen gehört zu werden, das Akteneinsichtsrecht sowie die Pflicht der Behörden, den Entscheid zu begründen (vgl. BGE 140 I 99 E. 3.4; 135 II 286 E. 5.1; Bernhard Waldmann, in: Basler Kommentar, Bundesverfassung, 2015, Art. 29 N. 40 ff.; Michele Albertini, Der verfassungsmässige Anspruch auf rechtliches Gehör im Verwaltungsverfahren des modernen Staates, Bern 2000, S. 202 ff.).</w:t>
      </w:r>
    </w:p>
    <w:p>
      <w:r>
        <w:rPr>
          <w:b/>
        </w:rPr>
        <w:t>E. 4.3</w:t>
      </w:r>
    </w:p>
    <w:p>
      <w:r>
        <w:t>Im Bereich der Invalidenversicherung hat die Verwaltung das rechtliche Gehör grundsätzlich im Vorbescheidverfahren zu gewähren (Art. 57a IVG, Art. 73bis f. IVV [SR 831.201]). Dies gilt auch für Rückforderungsverfügungen gemäss Art. 3 ATSV (vgl. Urteile des BGer 8C_177/2015 vom 15. Oktober 2015 E. 3 sowie 8C_699/2010 vom 8. Februar 2011 E. 2 je m.H.; BGE 119 V 431 E. 3c; Urs Müller, Das Verwaltungsverfahren in der Invalidenversicherung, 2010, N. 2152 m.H.; anders noch Urteil des BVGer C-3347/2008 vom 23. August 2010 E. 4 [m.H. auf BGE 134 V 97 E. 2], wonach auch andere angemessene Formen der Gehörsgewährung genügten; vgl. für ein Beispiel in einem anderen Zusammenhang etwa Urteil des BVGer C-2213/2014 vom 24. Februar 2015 E. 5.3.1 m.H.).</w:t>
      </w:r>
    </w:p>
    <w:p>
      <w:r>
        <w:rPr>
          <w:b/>
        </w:rPr>
        <w:t>E. 4.4</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Artikel 42 ATSG (Satz 2). Die Parteien können innerhalb einer Frist von 30 Tagen Einwände zum Vorbescheid vorbringen (Art. 73ter Abs. 1 IVV). Dieses Verfahren soll eine unkomplizierte Diskussion des Sachverhalts ermöglichen und dadurch die Akzeptanz des Entscheids bei den Versicherten verbessern. Es geht über den verfassungsrechtlichen Mindestanspruch auf rechtliches Gehör hinaus, indem es Gelegenheit gibt, sich nicht nur zur Sache, sondern auch zum vorgesehenen Endentscheid - und damit zur geplanten Rechtsanwendung - zu äussern. Stets geht es um das grundlegende Recht des Betroffenen, sich vor Erlass eines in seine Rechtsstellung eingreifenden Akts äussern zu können. Die Behörde muss seine Vorbringen hören, ernsthaft prüfen und in ihrer Entscheidfindung angemessen berücksichtigen (vgl. BGE 134 V 97 E. 2.7 f.; BGE 136 I 184 E. 2.2.1 m.H.; 112 Ia 1 E. 3c; Müller, a.a.O., N. 2059).</w:t>
      </w:r>
    </w:p>
    <w:p>
      <w:r>
        <w:rPr>
          <w:b/>
        </w:rPr>
        <w:t>E. 4.5</w:t>
      </w:r>
    </w:p>
    <w:p>
      <w:r>
        <w:t>Die Vorinstanz bestreitet weder, dass sie ein Vorbescheidverfahren hätte durchführen müssen, noch macht sie geltend, dem Beschwerdeführer das rechtliche Gehör auf eine andere angemessene Weise gewährt zu haben (vgl. E. 4.3). Es liegt mithin klarerweise eine Gehörsverletzung vor (Art. 29 Abs. 2 BV). Weshalb die Vorinstanz ohne Durchführung eines Vorbescheidverfahrens und ohne jegliche vorgängige Anhörung eine Rückforderungsverfügung erliess, ist umso weniger nachvollziehbar, als gemäss ständiger Praxis auch dem Vorbescheid materiell-rechtlich fristwahrende Wirkung zukommt (vgl. Urteil des BGer 8C_625/2012 vom 1. Juli 2013 E. 6.1.1; BGE 133 V 579 E. 4.3.1; BGE 119 V 431 E. 3c). Die Vorinstanz erklärt die Gründe für ihr Vorgehen nicht. Sie macht einzig geltend, eine Verletzung des Gehörsanspruchs könne «praxisgemäss als geheilt betrachtet werden», nachdem sich beide Parteien im Beschwerdeverfahren vor Bundesverwaltungsgericht, welches mit voller Kognition entscheide, mehrfach zu dieser Streitsache hätten äussern können. Ob dieser Rechtsauffassung zu folgen ist, gilt es nun zu prüfen.</w:t>
      </w:r>
    </w:p>
    <w:p>
      <w:r>
        <w:rPr>
          <w:b/>
        </w:rPr>
        <w:t>E. 4.6</w:t>
      </w:r>
    </w:p>
    <w:p>
      <w:r>
        <w:t>Angesichts der Höhe der Rückerstattungssumme geht es um einen erheblichen Eingriff in die Rechtsstellung des Beschwerdeführers (vgl. Urteil des EVG vom 4. Mai 2004, P 38/02, E. 5). Deshalb, und weil das Recht der betroffenen Partei auf vorgängige Anhörung das Kernelement des Gehörsanspruchs bildet (vgl. BVGE 2013/33 E. 3 m.H.), handelt es sich nicht um eine leichte Gehörsverletzung. Bei einer Unterlassung des Vorbescheidverfahrens darf überdies praxisgemäss stets nur sehr zurückhaltend von einer Rückweisung der Sache an die Vorinstanz abgesehen werden (vgl. Urteil des BGer 9C_875/2010 E. 4.1 m.H.; Müller, a.a.O., N. 1332 f.). Dass das Bundesverwaltungsgericht über die gleiche Kognition verfügt wie die Vorinstanz (vgl. E. 2.1) und sich die Parteien im Beschwerdeverfahren zur Sache äussern konnten, vermag hier deshalb für sich alleine noch keinen Verzicht auf eine Rückweisung zu rechtfertigen. Dies würde zusätzlich erfordern, dass eine Rückweisung einzig zu einem formalistischen Leerlauf und damit zu unnötigen Verzögerungen führen würde, die mit dem Interesse der betroffenen Partei an einer beförderlichen Beurteilung der Sache nicht zu vereinbaren wären (vgl. BGE 137 I 195 E. 2.3.2; 135 I 279 E. 2.6.1; Kölz/Häner/Bertschi, Verwaltungsverfahren und Verwaltungsrechtspflege des Bundes, 3. Aufl. 2013, N. 552; Ueli Kieser, ATSG-Kommentar, 3. Aufl. 2015, Art. 42 N. 14).</w:t>
      </w:r>
    </w:p>
    <w:p>
      <w:r>
        <w:rPr>
          <w:b/>
        </w:rPr>
        <w:t>E. 4.7</w:t>
      </w:r>
    </w:p>
    <w:p>
      <w:r>
        <w:t>Der Beschwerdeführer bringt klar zum Ausdruck, dass er nicht auf die Durchführung eines formell korrekten Verfahrens verzichten will (vgl. demgegenüber beispielsweise die Urteile des BGer 8C_177/2015 E. 3.2 sowie 9C_454/2012 vom 18. März 2013 E. 6.3; BVGE 2015/1 E. 4.8 m.H.). Eine Rückweisung führt hier denn auch nicht zu einem prozessualen Leerlauf, sondern ist zur ausreichenden Wahrung der Parteirechte erforderlich. Es erscheint sodann möglich, dass eine sorgfältige Würdigung der diversen Einwände des Beschwerdeführers die Vorinstanz zu neuen Erkenntnissen führen könnte. Diese hat zwar im Beschwerdeverfahren zu einzelnen Vorbringen Stellung genommen, sich aber beispielsweise zum Einwand, der Rückforderungsanspruch sei verwirkt (vgl. E. 3), nicht verlauten lassen (vgl. Sachverhalt Bst. J und K). Auf eine Rückweisung zu verzichten, würde folglich bedeuten, dass die Aufgabe der erstinstanzliche Behörde, die Sach- und Rechtslage unter Wahrung der prozessualen Garantien sorgfältig zu prüfen, auf die Beschwerdeinstanz verlagert würde; dies ist zu verhindern (vgl. etwa auch die Urteile des BVGer C-4160/2015 vom 7. Dezember 2015 E. 2.2 f. sowie C-3787/2013 vom 14. November 2014 E. 5 m.H.). Die festgestellte Gehörsverletzung muss aus all diesen Gründen zur Aufhebung der angefochtenen Verfügung führen.</w:t>
      </w:r>
    </w:p>
    <w:p>
      <w:r>
        <w:rPr>
          <w:b/>
        </w:rPr>
        <w:t>E. 5</w:t>
      </w:r>
    </w:p>
    <w:p>
      <w:r>
        <w:t>Bei dieser Sachlage erübrigt sich eine materielle Prüfung der angefochtenen Verfügung. Fest steht, dass die angefochtene Verfügung Bundesrecht verletzt (Art. 49 Bst. a VwVG). Die Beschwerde ist demnach gutzuheissen, die angefochtene Verfügung ist aufzuheben, und die Sache ist zur Durchführung eines formell korrekten Verfahrens und anschliessender Neubeurteilung an die Vorinstanz zurückzuweisen.</w:t>
      </w:r>
    </w:p>
    <w:p>
      <w:r>
        <w:rPr>
          <w:b/>
        </w:rPr>
        <w:t>E. 6.1</w:t>
      </w:r>
    </w:p>
    <w:p>
      <w:r>
        <w:t>Verfahrenskosten sind weder dem obsiegenden Beschwerdeführer noch der Vorinstanz aufzuerlegen (Art. 63 VwVG).</w:t>
      </w:r>
    </w:p>
    <w:p>
      <w:r>
        <w:rPr>
          <w:b/>
        </w:rPr>
        <w:t>E. 6.2</w:t>
      </w:r>
    </w:p>
    <w:p>
      <w:r>
        <w:t>Als obsiegende Partei hat der Beschwerdeführer Anspruch auf eine Parteientschädigung für die ihm erwachsenen notwendigen Kosten zu Lasten der Vorinstanz (Art. 64 Abs. 1 VwVG und Art. 7 des Reglements vom 21. Februar 2008 über die Kosten und Entschädigungen vor dem Bundesverwaltungsgericht [VGKE, SR 173.320.2]). Der Rechtsvertreter des Beschwerdeführers hat keine Honorarnote eingereicht, weshalb die Parteientschädigung aufgrund der Akten und nach Ermessen festzulegen ist (vgl. Art. 8 ff. und Art. 14 VGKE). Dem Beschwerdeführer ist zulasten der Vorinstanz eine Parteientschädigung von Fr. 2'500.- (inkl. Barauslagen und MwSt.) zuzusprechen.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