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C-2187/2009 vom 16. Juli 2009</w:t>
      </w:r>
    </w:p>
    <w:p>
      <w:r>
        <w:t>Bundesverwaltungsgericht, 2009-07-16, FR</w:t>
      </w:r>
    </w:p>
    <w:p>
      <w:r>
        <w:rPr>
          <w:b/>
        </w:rPr>
        <w:t xml:space="preserve">Quelle: </w:t>
      </w:r>
      <w:r>
        <w:t>https://mcp.opencaselaw.ch/entscheid/bvger_C-2187_2009</w:t>
      </w:r>
    </w:p>
    <w:p>
      <w:r>
        <w:t>FR: TAF C-2187/2009 du 16 juillet 2009</w:t>
      </w:r>
    </w:p>
    <w:p>
      <w:r>
        <w:t>IT: TAF C-2187/2009 del 16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(ci-après: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 539/2001 du Conseil du 15 mars 2001 (JO L 81 du 21 mars 2001, p. 1-7) différencie, en son art. 1 par. 1 et 2, les ressortissants des Etats tiers selon qu'ils sont soumis ou non à l'obligation du visa. En tant que ressortissant du Cameroun, B._______ est soumis à l'obligation de visa.</w:t>
      </w:r>
    </w:p>
    <w:p>
      <w:r>
        <w:rPr>
          <w:b/>
        </w:rPr>
        <w:t>E. 7</w:t>
      </w:r>
    </w:p>
    <w:p>
      <w:r>
        <w:t>Dans la décision attaquée,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w:t>
      </w:r>
    </w:p>
    <w:p>
      <w:r>
        <w:rPr>
          <w:b/>
        </w:rPr>
        <w:t>E. 8.1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8.2</w:t>
      </w:r>
    </w:p>
    <w:p>
      <w:r>
        <w:t>A ce sujet, il sied de relever qu'avec un PIB par habitant de US$ 1'199 en 2008, le Cameroun demeure un pays économiquement faible nonobstant un taux de croissance annuelle d'environ 3 %, d'importantes réserves de pétrole et des ressources naturelles abondantes. Le chômage, en particulier des personnes jeunes, y est en outre élevé. Les émeutes, survenues principalement à Yaoundé et à Douala entre le 23 et le 28 février 2008, ont mis en exergue les nombreuses difficultés auxquelles la population est confrontée (sources: www.eda.admin.ch &gt; représentations &gt; Afrique &gt; Cameroun &gt; La République du Cameroun en bref, état au 12 mai 2009, consulté le 30 juin 2009; www.diplomatie.gouv.fr &gt; pays zones géo &gt; Cameroun &gt; Présentation, état au 31 mars 2009, consulté le 30 juin 2009; www.state.gov &gt; learn about &gt; Cameroon, état: mars 2009, consulté le 30 juin 2009).</w:t>
      </w:r>
    </w:p>
    <w:p>
      <w:r>
        <w:rPr>
          <w:b/>
        </w:rPr>
        <w:t>E. 8.3</w:t>
      </w:r>
    </w:p>
    <w:p>
      <w:r>
        <w:t>Toutefois, la seule situation dans le pays d'origine ne suffit pas à conclure à l'absence de garantie quant à la sortie de Suisse et de l'Espace Schengen à l'issue du séjour, toutes les particularités du cas d'espèce devant être prises en considération.</w:t>
      </w:r>
    </w:p>
    <w:p>
      <w:r>
        <w:rPr>
          <w:b/>
        </w:rPr>
        <w:t>E. 9</w:t>
      </w:r>
    </w:p>
    <w:p>
      <w:r>
        <w:t>Il convient dès lors d'examiner la situation personnelle, professionnelle et familiale de B._______.</w:t>
      </w:r>
    </w:p>
    <w:p>
      <w:r>
        <w:rPr>
          <w:b/>
        </w:rPr>
        <w:t>E. 9.1</w:t>
      </w:r>
    </w:p>
    <w:p>
      <w:r>
        <w:t>Préalablement à cet examen, le Tribunal s'interroge sur les buts exacts du séjour en Suisse de B._______. Celui-ci, dans une première requête, avait mentionné souhaiter venir visiter son frère, nommé C._______. Dans la demande du 28 octobre 2008, l'intéressé se borne à mentionner désirer "passer des congés de Noël" sans parler de son frère. C'est le recourant, dans son mémoire du 2 avril 2009, qui relève à nouveau que le but de la visite de B._______ en Suisse est de nature familiale. En plus des divergences relatives au but du séjour de l'intéressé, le Tribunal relève que rien ne permet d'établir la réalité de la relation familiale entre C._______ et B._______.</w:t>
      </w:r>
    </w:p>
    <w:p>
      <w:r>
        <w:rPr>
          <w:b/>
        </w:rPr>
        <w:t>E. 9.2</w:t>
      </w:r>
    </w:p>
    <w:p>
      <w:r>
        <w:t>Concernant la situation personnelle, professionnelle et familiale de l'intéressé, le Tribunal relève que B._______ est âgé de 20 ans, célibataire et lycéen. Ce dernier élément est confirmé par un certificat de scolarité et une autorisation de départ en vacances délivrés par le proviseur du Lycée Général Leclerc de Yaoundé. B._______ n'exerce à ce jour aucune activité lucrative. Force est, au regard de ce qui précède, de conclure que l'intéressé serait parfaitement à même de se créer une nouvelle existence en Suisse, sans que cela n'entraîne une difficulté majeure sur les plans personnel, professionnel et familial.</w:t>
      </w:r>
    </w:p>
    <w:p>
      <w:r>
        <w:rPr>
          <w:b/>
        </w:rPr>
        <w:t>E. 9.3</w:t>
      </w:r>
    </w:p>
    <w:p>
      <w:r>
        <w:t>Le recourant se plaint que la demande d'autorisation d'entrée en Suisse soit traitée comme une demande d'autorisation d'entrée dans l'Espace Schengen. Comme précédemment mentionné (cf. ci-dessus consid. 4), l'art. 57 OEV prévoit que le nouveau droit, entré en vigueur le 12 décembre 2008, qui a repris l'acquis de Schengen, s'applique aux procédures pendantes à cette date. Ainsi, l'autorité compétente ne délivre plus de visa permettant la seule entrée en Suisse.</w:t>
      </w:r>
    </w:p>
    <w:p>
      <w:r>
        <w:rPr>
          <w:b/>
        </w:rPr>
        <w:t>E. 10</w:t>
      </w:r>
    </w:p>
    <w:p>
      <w:r>
        <w:t>Cela étant, le désir exprimé par B._______ de venir rendre visite à son frère ne constitue pas à lui seul un motif justifiant l'octroi d'un visa, à propos duquel il ne saurait se prévaloir d'aucun droit. Certes, il peut, au moins à première vue, sembler sévère de refuser à une personne l'autorisation d'entrer dans un pays où réside un membre de sa proche famille.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ainsi pas sans avoir une incidence importante sur l'appréciation du cas particulier.</w:t>
      </w:r>
    </w:p>
    <w:p>
      <w:r>
        <w:rPr>
          <w:b/>
        </w:rPr>
        <w:t>E. 11</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seule la maîtrise de son comportement - et ne permettent nullement d'exclure l'éventualité que l'intéressé, une fois en Suisse, ne tente de poursuivre durablement son existence. De même, l'intention que peut manifester une personne à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12</w:t>
      </w:r>
    </w:p>
    <w:p>
      <w:r>
        <w:t>Au demeurant, le refus d'autorisation d'entrée prononcé par les autorités helvétiques n'a pas pour conséquence d'empêcher B._______ de maintenir des liens avec C._______, celui-ci pouvant tout aussi bien se rendre quelques semaines dans son pays, nonobstant les inconvénients d'ordre pratique ou de convenance personnelle que cela pourrait engendrer.</w:t>
      </w:r>
    </w:p>
    <w:p>
      <w:r>
        <w:rPr>
          <w:b/>
        </w:rPr>
        <w:t>E. 13</w:t>
      </w:r>
    </w:p>
    <w:p>
      <w:r>
        <w:t>Au regard de l'ensemble des circonstances du cas d'espèce, le Tribunal juge que c'est à raison que l'ODM a considéré que le retour de B._______ au Cameroun à l'échéance du visa requis n'était pas suffisamment assuré et, partant, a refusé la délivrance d'une autorisation d'entrée dans l'Espace Schengen en sa faveur.</w:t>
      </w:r>
    </w:p>
    <w:p>
      <w:r>
        <w:rPr>
          <w:b/>
        </w:rPr>
        <w:t>E. 14.1</w:t>
      </w:r>
    </w:p>
    <w:p>
      <w:r>
        <w:t>Compte tenu des considérants exposés ci-dessus, il appert que, par sa décision du 12 mars 2009, l'ODM n'a ni violé le droit fédéral, ni constaté de manière inexacte ou incomplète des faits pertinents; en outre, cette décision n'est pas inopportune (art. 49 PA). En conséquence, le recours est rejeté.</w:t>
      </w:r>
    </w:p>
    <w:p>
      <w:r>
        <w:rPr>
          <w:b/>
        </w:rPr>
        <w:t>E. 14.2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