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C-2183/2013 vom 28. Januar 2015</w:t>
      </w:r>
    </w:p>
    <w:p>
      <w:r>
        <w:t>Bundesverwaltungsgericht, 2015-01-28, IT</w:t>
      </w:r>
    </w:p>
    <w:p>
      <w:r>
        <w:rPr>
          <w:b/>
        </w:rPr>
        <w:t xml:space="preserve">Quelle: </w:t>
      </w:r>
      <w:r>
        <w:t>https://mcp.opencaselaw.ch/entscheid/bvger_C-2183_2013</w:t>
      </w:r>
    </w:p>
    <w:p>
      <w:r>
        <w:t>FR: TAF C-2183/2013 du 28 janvier 2015</w:t>
      </w:r>
    </w:p>
    <w:p>
      <w:r>
        <w:t>IT: TAF C-2183/2013 del 28 gennaio 2015</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La domanda di una rendita AI essendo stata presentata il 28 agosto 2012, al caso in esame si applicano di principio le disposizioni della 6a revisione della LAI (primo pacchetto) entrate in vigore il 1° gennaio 2012.</w:t>
      </w:r>
    </w:p>
    <w:p>
      <w:r>
        <w:rPr>
          <w:b/>
        </w:rPr>
        <w:t>E. 3.2</w:t>
      </w:r>
    </w:p>
    <w:p>
      <w:r>
        <w:t>Il ricorrente, come già menzionato, ha presentato la domanda di rendita il 28 agosto 2012.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ed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4 anni (doc. 45)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7</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134 V 231 consid. 5.1 e 125 V 351 consid. 3).</w:t>
      </w:r>
    </w:p>
    <w:p>
      <w:r>
        <w:rPr>
          <w:b/>
        </w:rPr>
        <w:t>E. 9.1</w:t>
      </w:r>
    </w:p>
    <w:p>
      <w:r>
        <w:t>Nella fattispecie in esame, occorre esaminare se prima della resa della decisione impugnata, l'UAIE avrebbe dovuto procedere ad ulteriori misure istruttorie per potersi determinare con cognizione di causa sullo stato di salute e sulla capacità lavorativa dell'insorgente, come quest'ultimo fa valere nel ricorso.</w:t>
      </w:r>
    </w:p>
    <w:p>
      <w:r>
        <w:rPr>
          <w:b/>
        </w:rPr>
        <w:t>E. 9.2.1</w:t>
      </w:r>
    </w:p>
    <w:p>
      <w:r>
        <w:t>Nel gravame, il ricorrente rimprovera all'autorità inferiore di non avere sufficientemente motivato la decisione impugnata e fa valere una violazione del diritto di essere sentito in quanto l'autorità inferiore non gli ha trasmesso le diverse prese di posizione del servizio medico.</w:t>
      </w:r>
    </w:p>
    <w:p>
      <w:r>
        <w:rPr>
          <w:b/>
        </w:rPr>
        <w:t>E. 9.2.2</w:t>
      </w:r>
    </w:p>
    <w:p>
      <w:r>
        <w:t>Secondo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in proposito (sentenza del TF 9C_903/2011 del 25 gennaio 2013 consid. 6.3; DTF 132 V 368 consid. 3.1).</w:t>
      </w:r>
    </w:p>
    <w:p>
      <w:r>
        <w:rPr>
          <w:b/>
        </w:rPr>
        <w:t>E. 9.2.3</w:t>
      </w:r>
    </w:p>
    <w:p>
      <w:r>
        <w:t>L'obbligo della motivazione (art. 35 PA) è formalità essenziale e se, da un lato, rappresenta un limite intrinseco alla libertà di convincimento, costringendo l'autorità giudicante a rendere ragione della razionalità del percorso seguito per giungere alla decisione, dall'altro si configura quale premessa logica imprescindibile per l'esercizio del successivo controllo sulle linee di formazione di quel convincimento. Per conseguenza, attraverso doverosi passaggi argomentativi imperniati sull'indicazione delle risultanze probatorie legittimamente acquisite nonché sull'indicazione dei criteri di valutazione impiegati, l'autorità giudicante dovrà in concreto ricostruire, anzitutto per la propria consapevolezza, il percorso logico-conoscitivo che l'ha condotta ad apprezzare in un certo modo le prove disponibili e a trarne determinate conclusioni. Pertanto, essa ha l'obbligo d'esplicitare, nel modo più rigoroso e completo, la motivazione posta a fondamento della decisione adottata, ancorando così il principio del libero convincimento all'esigenza d'indicazione specifica dei risultati acquisiti e dei criteri adottati, allo scopo d'evitare che detto principio venga attuato per un uso arbitrario. Invero, nella motivazione della decisione, l'autorità non è tenuta a compiere un'analisi approfondita di tutte le deduzioni delle parti e a prendere in esame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C-6774/2007 del 21 dicembre 2009 consid. 4.1).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del ricorrente nel merito (DTF 118 Ia 17 consid. 1a, 117 Ia 7 consid. 1a e 115 Ia 10 consid. 2a).</w:t>
      </w:r>
    </w:p>
    <w:p>
      <w:r>
        <w:rPr>
          <w:b/>
        </w:rPr>
        <w:t>E. 9.2.4</w:t>
      </w:r>
    </w:p>
    <w:p>
      <w:r>
        <w:t>La censura riguardante la violazione dell'obbligo di motivare la decisione è manifestamente fondata ove solo si rilevi che né nel progetto di decisione del 17 gennaio 2013 né nella decisione del 14 marzo 2013 l'UAIE ha indicato con la necessaria precisione gli elementi determinanti alla base della valutazione medica. Dagli atti di causa non risulta altresì che l'autorità inferiore abbia trasmesso all'insorgente le prese di posizione del gennaio e marzo 2013 del servizio medico dell'UAIE (doc. 33 e 39). Con riferimento alla valutazione medica sullo stato di salute e sulla capacità lavorativa del ricorrente non soccorrono l'autorità inferiore neppure i rapporti del medico dell'UAIE del gennaio e marzo (precedentemente menzionati e poi trasmessi da questo Tribunale al ricorrente il 5 luglio 2013) né quelli del giugno e settembre 2013 (doc. 42 e 44). Gli stessi sono succinti e generici e non è desumibile su quali precise riflessioni sia fondata la conclusione di una capacità al lavoro intatta sia nella precedente attività sia in un'attività sostitutiva adeguata. In altri termini, non è stato indicato né nella decisione impugnata né nei diversi rapporti del servizio medico dell'UAIE per quale ragione, malgrado il danno alla salute, l'ultima attività esercitata di bracciante agricolo - come ogni altra sostitutiva - sarebbe ancora esigibile e perché nella misura del 100%. Da quanto esposto, discende che non è dato sapere né all'insorgente né a questo Tribunale sulla base di quali effettive riflessioni il servizio medico dapprima e poi l'autorità inferiore abbiano potuto giungere alla conclusione ritenuta, ossia quella, come già accennato, di una completa capacità lavorativa sia nella precedente attività sia in un'attività confacente allo stato di salute.</w:t>
      </w:r>
    </w:p>
    <w:p>
      <w:r>
        <w:rPr>
          <w:b/>
        </w:rPr>
        <w:t>E. 9.3</w:t>
      </w:r>
    </w:p>
    <w:p>
      <w:r>
        <w:t>In considerazione di quanto precede, e nonostante che gli siano state trasmesse in sede ricorsuale copie delle diverse prese di posizione del servizio medico dell'UAIE (doc. TAF 11 e 16), il ricorrente non ha potuto difendersi con cognizione di causa e neppure è possibile a questo Tribunale decidere la causa nel merito, mancando totalmente un apprezzamento medico intelligibile. La decisione impugnata, resa in violazione dell'obbligo di motivare correttamente la propria decisione, incorre pertanto nell'annullamento già per questo motivo.</w:t>
      </w:r>
    </w:p>
    <w:p>
      <w:r>
        <w:rPr>
          <w:b/>
        </w:rPr>
        <w:t>E. 9.4</w:t>
      </w:r>
    </w:p>
    <w:p>
      <w:r>
        <w:t>Va comunque rilevato che la decisione impugnata poggia pure su un insufficiente accertamento dei fatti giuridicamente rilevanti. In effetti, in virtù delle risultanze processuali, il ricorrente soffre segnatamente (cfr., fra l'altro, la perizia medica E 213 del 20 settembre 2012) di problemi ortopedico-reumatologici (segnatamente esiti di microdiscectomia L4-L5 + recalibraggio articolare in spondilodiscoartrosi), urologici (calcolosi renali e uretrali in trattamento continuo) e cardiocircolatori (ipertensione arteriosa).</w:t>
      </w:r>
    </w:p>
    <w:p>
      <w:r>
        <w:rPr>
          <w:b/>
        </w:rPr>
        <w:t>E. 9.4.1</w:t>
      </w:r>
    </w:p>
    <w:p>
      <w:r>
        <w:t>Con riferimento alla perizia medica E 213 del settembre 2012 (doc. 25), che certo non appare redatta da uno specialista in urologia o ortopedia-reumatologia o cardiologia, essa è basata su un esame superficiale delle affezioni di cui soffrirebbe il ricorrente secondo la documentazione agli atti e non fornisce spiegazioni sufficienti riguardo all'evocata incapacità lavorativa del 65% nella precedente attività lavorativa (pag. 9 n. 11.7) e ad un'impossibilità a svolgere un'attività sostitutiva adeguata a tempo pieno (pag. 9 n. 11.6). Essa non consente pertanto di fondare un giudizio definitivo con cognizione di causa (secondo il necessario grado della verosimiglianza preponderante) sulla residua capacità lavorativa dell'insorgente. Tuttavia, essa diverge fondamentalmente dalla valutazione del medico dell'UAIE su cui si è fondata l'autorità inferiore nella decisione impugnata, senza che né il medico né l'UAIE abbiano fornito argomenti convincenti, sulla base di documentazione medica oggettiva, che potessero confermare le loro conclusioni sulla pretesa intatta capacità lavorativa del ricorrente. I dubbi al riguardo sono seri e trovano fondamento anche nella relazione tecnica del dott. E._______ del febbraio 2012 - ordinata dal competente Tribunale di D._______ e poi ripresa nella sentenza del Tribunale medesimo del 18 aprile 2012 poiché giudicata fondata su accurati esami (cfr. doc. TAF 1, allegati 12 e 13) - secondo cui l'insorgente deve ritenersi invalido nella misura del 75% da giugno 2011, non solo per l'affezione ortopedica-reumatologica, ma in particolare per la progressiva evoluzione della patologia renale e della comparsa della patologia cardiovascolare. Certo, questa valutazione, fondata su una metodologia specifica al diritto italiano, non può fondare un giudizio definitivo secondo il diritto svizzero. Essa è comunque sufficiente, da un lato, a far sorgere ulteriori seri dubbi sulla generica ed immotivata valutazione del medico dell'UAIE e, dall'altro lato, a giustificare delle ulteriori indagini da parte dell'autorità inferiore, la quale ha pertanto deciso la causa anche in violazione dell'art. 43 LPGA.</w:t>
      </w:r>
    </w:p>
    <w:p>
      <w:r>
        <w:rPr>
          <w:b/>
        </w:rPr>
        <w:t>E. 9.4.2</w:t>
      </w:r>
    </w:p>
    <w:p>
      <w:r>
        <w:t>Da quanto esposto, discende che la decisione impugnata incorre nell'annullamento anche perché fondata su un accertamento insufficiente dei fatti giuridicamente rilevanti.</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TAF C-329/2012 dell'11 febbraio 2014 consid. 12.1).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10.2</w:t>
      </w:r>
    </w:p>
    <w:p>
      <w:r>
        <w:t>Gli atti di causa sono pertanto rinviati all'autorità inferiore affinché la stessa proceda a completare l'accertamento dei fatti giuridicamente rilevanti e ad emanare una nuova decisione. La cassazione si giustifica per il fatto che dovranno essere eseguiti per la prima volta rispettivamente completati i necessari accertamenti medici, segnatamente con perizie (urologica e ortopedica/reumatologica) rispettivamente rapporto dettagliato (cardiologico; cfr., sulla possibilità di un rinvio all'autorità inferiore in siffatte circostanze, DTF 137 V 210 consid. 4.4.1.4) nonché ogni ulteriore esame che pure l'evoluzione nel tempo dello stato di salute del ricorrente dovesse ancora rendere necessario. Per il resto, e se del caso, l'UAIE dovrà pure effettuare un confronto dei redditi determinanti sulla base delle possibili attività sostitutive adeguate ritenute.</w:t>
      </w:r>
    </w:p>
    <w:p>
      <w:r>
        <w:rPr>
          <w:b/>
        </w:rPr>
        <w:t>E. 10.3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14 marzo 2013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 ricorrente la facoltà di ritirare il proprio gravame.</w:t>
      </w:r>
    </w:p>
    <w:p>
      <w:r>
        <w:rPr>
          <w:b/>
        </w:rPr>
        <w:t>E. 11.1</w:t>
      </w:r>
    </w:p>
    <w:p>
      <w:r>
        <w:t>Visto l'esito della procedura, non sono prelevate delle spese processuali (art. 63 PA). La domanda di assistenza giudiziaria, nel senso della dispensa dal versamento delle spese processuali, è pertanto divenuta senza oggetto.</w:t>
      </w:r>
    </w:p>
    <w:p>
      <w:r>
        <w:rPr>
          <w:b/>
        </w:rPr>
        <w:t>E. 11.2.1</w:t>
      </w:r>
    </w:p>
    <w:p>
      <w:r>
        <w:t>Ritenuto che l'insorgente è rappresentato in questa sede da un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w:t>
      </w:r>
    </w:p>
    <w:p>
      <w:r>
        <w:rPr>
          <w:b/>
        </w:rPr>
        <w:t>E. 11.2.2</w:t>
      </w:r>
    </w:p>
    <w:p>
      <w:r>
        <w:t>In virtù dell'art. 7 cpv. 1 TS-TAF, la parte vincente ha diritto alle ripetibili per le spese necessarie derivanti dalla causa. Secondo gli art. 8 e 9 cpv. 1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200 e un massimo di 400 franchi. Peraltro, secondo l'art. 14 cpv. 1 TS-TAF, le parti che chiedono la rifusione di ripetibili e gli avvocati d'ufficio devono presentare al Tribunale, prima della pronuncia della decisione, una nota particolareggiata delle spese. Infine, giusta l'art. 14 cpv. 2 TS-TAF, il Tribunale fissa l'indennità dovuta alla parte e quella dovuta agli avvocati d'ufficio sulla base della nota particolareggiata delle spese. Se quest'ultima non è stata inoltrata, il Tribunale fissa l'indennità sulla base degli atti di causa.</w:t>
      </w:r>
    </w:p>
    <w:p>
      <w:r>
        <w:rPr>
          <w:b/>
        </w:rPr>
        <w:t>E. 11.2.3</w:t>
      </w:r>
    </w:p>
    <w:p>
      <w:r>
        <w:t>Secondo giurisprudenza, nell'ambito del suo potere d'apprezzamento, questo Tribunale determina l'onorario dell'avvocato in funzione dell'importanza e delle difficoltà della lite nonché dell'ampiezza del lavoro e del dispendio orario. Per valutare l'importanza del lavoro e del tempo consacrato, occorre tenere conto del fatto che la procedura in materia di assicurazioni sociali è retta dalla massima inquisitoria, ciò che, di regola, facilita il compito del mandatario. Quanto all'attività di quest'ultimo suscettibile di essere considerata, essa non può comprendere le azioni inutili o superflue. Inoltre, le iniziative intraprese prima della promozione della fase processuale non possono - di principio e salvo eccezioni - essere ritenute (cfr., per il principio, la sentenza del TF I 452/05 del 27 novembre 2006 consid. 5.5 e relativi riferimenti; cfr., per le eccezioni, DTF 112 Ib 353 consid. 3a in fine [possono quindi essere ritenuti gli atti anteriori alla fase processuale quando questi sono necessari alla preparazione della procedura di ricorso]).</w:t>
      </w:r>
    </w:p>
    <w:p>
      <w:r>
        <w:rPr>
          <w:b/>
        </w:rPr>
        <w:t>E. 11.2.4.1</w:t>
      </w:r>
    </w:p>
    <w:p>
      <w:r>
        <w:t>Nel caso concreto, con atto di replica del 2 agosto 2013, il ricorrente ha chiesto il riconoscimento dell'importo di EUR 2'808.00 a titolo di spese ripetibili, secondo l'allegata nota spese (doc. TAF 13, allegato 2).</w:t>
      </w:r>
    </w:p>
    <w:p>
      <w:r>
        <w:rPr>
          <w:b/>
        </w:rPr>
        <w:t>E. 11.2.4.2</w:t>
      </w:r>
    </w:p>
    <w:p>
      <w:r>
        <w:t>Tuttavia, la nota spese presentata è generica, non contemplando il tempo di lavoro, la tariffa oraria nonché i disborsi di cui alle diverse fasi processuali. Non si giustifica pertanto la rifusione di ripetibili sulla base di tale nota (v., sulla questione, la sentenza del TAF C-1139/2014 del 23 settembre 2014 consid. 16.2.2).</w:t>
      </w:r>
    </w:p>
    <w:p>
      <w:r>
        <w:rPr>
          <w:b/>
        </w:rPr>
        <w:t>E. 11.2.4.3</w:t>
      </w:r>
    </w:p>
    <w:p>
      <w:r>
        <w:t>Ritenuto che la fattispecie è relativamente semplice dal profilo fattuale e del diritto e conto tenuto del lavoro utile e necessario della rappresentante del ricorrente (segnatamente per lo studio della causa, la consulenza con il cliente e l'allestimento di un ricorso, di un atto di replica e di uno scritto di osservazioni), le spese ripetibili a favore dell'insorgente sono fissate in fr. 2'000.- (senza IVA; v., sulla questione, fra le tante, la sentenza del TAF C-1139/2014 del 23 settembre 2014 consid. 16.2.2).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