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C-2178/2013 vom 9. April 2014</w:t>
      </w:r>
    </w:p>
    <w:p>
      <w:r>
        <w:t>Bundesverwaltungsgericht, 2014-04-09, FR</w:t>
      </w:r>
    </w:p>
    <w:p>
      <w:r>
        <w:rPr>
          <w:b/>
        </w:rPr>
        <w:t xml:space="preserve">Quelle: </w:t>
      </w:r>
      <w:r>
        <w:t>https://mcp.opencaselaw.ch/entscheid/bvger_C-2178_2013</w:t>
      </w:r>
    </w:p>
    <w:p>
      <w:r>
        <w:t>FR: TAF C-2178/2013 du 9 avril 2014</w:t>
      </w:r>
    </w:p>
    <w:p>
      <w:r>
        <w:t>IT: TAF C-2178/2013 del 9 aprile 2014</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d'interdiction d'entrée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Lorenz Kneubühler, Prozessieren vor dem Bundesverwaltungsgericht, Handbücher für die Anwaltspraxis, tome X, Bâle 2013, pp. 226-227, ad ch. 3.197). Aussi peut-elle admettre ou rejeter le pourvoi pour d'autres motifs que ceux invoqués. Dans son arrêt, elle prend en considération l'état de fait régnant au moment où elle statue (cf. ATAF 2012/21 consid. 5.1). 3.3.1 Aux termes de l'art. 67 al. 2 LEtr, l'ODM peut interdire l'entrée en Suisse à un étranger s'il a attenté à la sécurité et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 3.2 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(SIS II, JO L 381 du 28 décembre 2006 pp. 4 à 23) entré en vigueur le 9 avril 2013 et abrogeant (cf. la décision du Conseil 2013/158/UE du 7 mars 2013, JO L 87 pp. 10 et 11 en relation avec l'art. 52 par. 1 du règlement SIS II) en particulier l'art. 94 par. 1 et l'art. 96 de la Convention d'application de l'accord de Schengen (CAAS, JO L 239 du 22 septembre 2000 pp. 19 à 62), cette personne - conformément, d'une part, au règlement (CE) n° 1987/2006 précité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(cf. art. 13 par. 1, en relation avec l'art. 5 par. 1 let. d du code frontières Schengen).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aussi l'art. 13 par. 1, en relation avec l'art. 5 par. 4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 du 15 septembre 2009]; sur ces questions, cf. également les arrêts du Tribunal administratif fédéral C-661/2011 du 6 juin 2012, consid. 8.2, et C-6801/2010 du 1er avril 2011, consid. 4). 3.3 Concernant plus spécifiquement les notions de sécurité et d'ordre publics, qui sont par ailleurs à la base de la motivation de la décision querellée du 4 février 2013 et de celle rendue le 24 septembre 2013,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Selon le Message précité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4.En l'occurrence, l'ODM a prononcé le 4 février 2013 une décision d'interdiction d'entrée d'une durée indéterminée à l'encontre de A._______. Il a considéré qu'une telle mesure d'éloignement s'imposait en raison de la gravité des infractions commises par le prénommé durant sa présence sur territoire helvétique et de la mise en danger de la sécurité et l'ordre publics qui en découlait. Dans le cadre de la procédure de recours, soit le 24 septembre 2013, l'autorité inférieure est revenue partiellement sur sa décision initiale en limitant au 3 février 2023 les effets de sa mesure d'éloignement.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la personne concernée constitue une menace grave pour la sécurité et l'ordre publics autorisant le prononcé d'une mesure d'éloignement de plus de cinq ans, au sens de l'art. 67 al. 3 2ème phrase LEtr. 4.1 L'examen du dossier montre que le comportement de A._______ durant sa présence sur territoire helvétique n'a cessé de donner lieu à des condamnations pénales, lesquelles ont culminé avec une peine privative de liberté de quatre ans et demi pour avoir participé, entre le milieu de l'année 2004 et début 2006, soit pendant plus d'une année et demie, à un important trafic de voitures volées entre la Suisse et la Serbie. Dans son jugement du 5 décembre 2008 - lequel a été remplacé par l'arrêt rendu par la Cour de Cassation pénale du canton de Vaud le 8 (ou 9) juin 2009 -, le Tribunal correctionnel de Lausanne a retenu que la culpabilité de l'intéressé était "lourde" et que ce dernier avait agi "pour des motifs égoïstes, soit par appât du gain" (cf. p. 37 dudit jugement). De plus, il appert que l'intéressé a subi durant la présente procédure de recours une nouvelle peine privative de liberté de huitante jours, pour dommages à la propriété et infraction grave à la loi fédérale sur la circulation routière (cf. ordonnance du Ministère public central du canton de Vaud du 7 mai 2013). A cela s'ajoute qu'il a été l'objet durant cette même année de deux nouvelles enquêtes policières (cf. supra let. I), alors qu'il se trouvait illégalement sur le territoire cantonal vaudois. A ce stade, il s'impose donc de retenir que le recourant, par son comportement délictueux récurrent, a indiscutablement attenté à la sécurité et à l'ordre publics en Suisse, de sorte qu'il remplit incontestablement les conditions d'application de l'art. 67 al. 2 let. a LEtr. Aussi la mesure d'interdiction d'entrée prononcée par l'ODM le 4 février 2013 est manifestement justifiée dans son principe. 4.2 Il convient encore de déterminer si A._______ constitue une menace grave pour la sécurité et l'ordre publics justifiant le prononcé d'une mesure d'éloignement allant au-delà de la durée maximale de cinq ans prévue à l'art. 67 al. 3 1ère phrase LEtr. A cet égard, force est de constater une fois encore que les infractions imputées au recourant sont objectivement graves, tout particulièrement celle ayant entraîné une peine privative de liberté de quatre ans et demi. A cela s'ajoute le fait que l'intéressé ne s'est nullement amendé puisque son comportement a donné lieu en 2013 à une nouvelle condamnation pénale et à deux enquêtes policières. Apprécié sous l'angle de la protection de l'ordre et de la prévention des infractions, le comportement délictueux du recourant nécessite donc sans conteste une intervention adéquate des autorités fédérales à son endroit. Il convient de ne pas perdre de vue que l'intéressé a été condamné durant son séjour en Suisse à de multiples peines privatives de liberté totalisant plus de sept années durant la période s'étendant de 2003 à 2013, voire de près de huit années si l'on tient compte aussi des condamnation pénales subies entre les années 1994 et 2001 (cf. arrêt du TAF précité, consid. 10.2). Le fait que le recourant se prévaut d'un pronostic favorable quant à son comportement futur en Suisse ("le pronostic n'est pas défavorable") ne saurait être retenu par le Tribunal de céans, au vu de la nature, de la gravité et du nombre considérable des actes délictueux qui ont été commis. Quant aux arguments tirés de l'ancienneté des faits reprochés et du comportement n'ayant plus donné lieu à une condamnation pénale depuis sa libération conditionnelle en octobre 2012, ils tombent à faux au regard des faits exposés plus haut (cf. consid. 4.1, 1er § in fine). Force est de reconnaître dans ces circonstances qu'il n'y a aucune raison d'admettre que le recourant s'est définitivement détourné de la délinquance, comme il le laisse accroire dans son pourvoi (cf. mémoire de recours, p. 2). Aussi le Tribunal de céans arrive-t-il à la conclusion que les conditions mises à l'art. 67 al. 3 2ème phrase LEtr sont réunies dans le cas particulier et justifient l'éloignement de l'intéressé pour une durée sensiblement supérieure à cinq ans.</w:t>
      </w:r>
    </w:p>
    <w:p>
      <w:r>
        <w:rPr>
          <w:b/>
        </w:rPr>
        <w:t>E. 5</w:t>
      </w:r>
    </w:p>
    <w:p>
      <w:r>
        <w:t>Il convient encore d'examiner si la mesure d'éloignement prise par l'ODM satisfait aux principes de la proportionnalité et de l'égalité de traitement.</w:t>
      </w:r>
    </w:p>
    <w:p>
      <w:r>
        <w:rPr>
          <w:b/>
        </w:rPr>
        <w:t>E. 5.1</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arrêts du TAF C-4782/2011 du 13 juin 2013, consid. 8, et C-599/2012 du 13 novembre 2012, consid. 8, et réf. cit.).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ATF 136 IV 97 consid. 5.2.2, 135 I 176 consid. 8.1, 133 I 110 consid. 7.1, et jurispr. cit.). Les éléments à prendre en compte, indépendamment de la gravité de la faute commise, auront trait à la durée du séjour de l'étranger concerné, à son intégration, à sa situation personnelle et familiale et au préjudice qu'il aura à subir du fait de son éloignement forcé de Suisse. 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Uebersax/Rudin/Hugi Yar/Geiser [éd.], Ausländerrecht, 2ème éd., Bâle 2009, ch. 8.80, p. 356).</w:t>
      </w:r>
    </w:p>
    <w:p>
      <w:r>
        <w:rPr>
          <w:b/>
        </w:rPr>
        <w:t>E. 5.2</w:t>
      </w:r>
    </w:p>
    <w:p>
      <w:r>
        <w:t>En l'espèce, force est de constater encore une fois que les infractions imputées au recourant sont objectivement graves. Apprécié sous l'angle de la protection de l'ordre et de la prévention des infractions, le comportement délictueux de A._______ nécessite donc une intervention adéquate des autorités fédérales à son endroit. Le fait qu'il a subi durant son séjour en Suisse des peines privatives de liberté totalisant près de huit années est à cet égard tout à fait révélateur. A ce propos, il est à noter que les actes relativement graves pour lesquels l'intéressé a été condamné en Suisse justifient une intervention ferme des autorités, aux fins surtout de prévenir la commission d'autres infractions pénales. Dans ce contexte, on ne saurait passer sous silence le fait que A._______ a déployé une activité délictuelle en Suisse s'étendant sur une très longue période, soit de 1994 à 2013.</w:t>
      </w:r>
    </w:p>
    <w:p>
      <w:r>
        <w:rPr>
          <w:b/>
        </w:rPr>
        <w:t>E. 5.3</w:t>
      </w:r>
    </w:p>
    <w:p>
      <w:r>
        <w:t>Dans son pourvoi, le recourant soutient que la décision d'interdiction d'entrée est manifestement contraire à la CEDH, au motif qu'il s'est marié le 4 février 2013 avec une ressortissante suisse et qu'il est le père d'une fille âgée de neuf ans, laquelle vit avec sa mère à Lausanne, ainsi que d'un fils âgé d'un peu plus de quinze ans, qui est au bénéfice d'une autorisation d'établissement dans le canton de Vaud et qui a entrepris des démarches en vue de sa naturalisation. Aussi juge-t-il essentiel qu'il puisse être constamment présent dans la vie quotidienne de son fils. Par ailleurs, il expose que la garde de cet enfant lui a été confiée, par jugement de divorce rendu le 16 décembre 2002 par le Tribunal de district de Z._______ (République de Serbie), et que le Service de protection de la jeunesse du canton de Vaud a accordé aux époux une autorisation d'accueil pour ce fils, qui est placé chez eux depuis le 6 avril 2012. Le recourant estime en outre que son pourvoi doit être également examiné en rapport avec la CDE (cf. mémoire de recours, pp. 2 et. 3).</w:t>
      </w:r>
    </w:p>
    <w:p>
      <w:r>
        <w:rPr>
          <w:b/>
        </w:rPr>
        <w:t>E. 5.3.1</w:t>
      </w:r>
    </w:p>
    <w:p>
      <w:r>
        <w:t>Un étranger peut, selon les circonstances, se prévaloir du droit au respect de sa vie privée et familiale garanti par l'art. 8 par. 1 CEDH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131 II 265 consid. 5; Alain Wurzburger, La jurisprudence récente du Tribunal fédéral en matière de police des étrangers, RDAF 1997, p. 285). D'après la jurisprudence du Tribunal fédéral, les relations familiales qui peuvent fonder, en vertu de l'art. 8 par. 1 CEDH, un droit à une autorisation de police des étrangers sont avant tout les rapports entre époux ainsi qu'entre parents et enfants mineurs vivant ensemble (cf. ATF 135 I précité consid. 1.3.2). L'art. 13 al. 1 de la Constitution fédérale de la Confédération suisse du 18 avril 1999 (Cst., RS 101) garantit la même protection (cf. ATF 129 II 215 consid. 4.2).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5.3.2 Dans le cas particulier, il y a lieu de noter préalablement que l'impossibilité pour A._______ de mener durablement une vie familiale en Suisse ne résulte pas primairement de la mesure attaquée, mais découle au contraire du fait qu'il n'est pas titulaire d'une autorisation de séjour en ce pays. Ainsi, comme cela a été exposé plus haut (cf. supra let G), le SPOP/VD a refusé catégoriquement, par décision du 4 juin 2013, de délivrer l'autorisation de séjour sollicitée par le recourant à la suite du mariage contracté le 4 février 2013 en Serbie avec une citoyenne suisse. Or, il appert des pièces du dossier cantonal qu'aucun recours n'a été déposé contre la décision précitée, de sorte que celle-ci est entrée en force et que l'intéressé ne bénéfice d'aucun titre de séjour dans le canton de Vaud. Il s'ensuit que l'appréciation de la situation de A._______ susceptible d'être opérée sous l'angle de l'art. 8 CEDH dans le cadre de la présente procédure ne vise qu'à examiner si l'interdiction d'entrée complique de façon disproportionnée le maintien des relations familiales du prénommé avec ses proches, qui sont tous au bénéfice d'un droit de présence assuré en Suisse. Il sied en outre de noter ici que le recourant ne peut tirer aucun avantage de la CDE (cf. mémoire de recours, p. 3), étant donné que cette convention ne fonde aucune prétention directe à l'obtention d'une autorisation de séjour en Suisse (cf. ATF 136 I 285 consid. 5.2 et jurispr. cit.). 5.4 Compte tenu de la nature, de la gravité et du nombre considérable des actes pour lesquels A._______ a été sanctionné pénalement durant son séjour en Suisse, force est d'admettre que l'intérêt public à son éloignement prévaut sur l'intérêt privé contraire à pouvoir se rendre temporairement en Suisse pour y entretenir des relations familiales. En effet, force est de reconnaître que les arguments d'ordre essentiellement privé mis en avant par le recourant (cf. supra consid. 5.3) et la durée relativement longue de sa présence en Suisse ne sauraient l'emporter sur l'intérêt public à son éloignement du territoire helvétique pour une période supérieure à cinq années. En particulier, la durée de son séjour dans le canton de Vaud ne pèse pas d'un grand poids dans la balance des intérêts en présence d'autant que, pendant une partie non négligeable de cette période, l'intéressé a purgé une importante peine de prison et n'a pas hésité à commettre de nouveaux délits malgré ses précédentes condamnations. Pour cette raison d'ailleurs, le SPOP/VD a refusé le 4 juin 2013 d'autoriser la poursuite du séjour de l'intéressé sur le territoire vaudois, étant rappelé sur ce point que l'impossibilité pour A._______ de mener durablement une vie familiale en Suisse ne résulte pas primairement de la mesure attaquée (cf. supra consid. 5.3.2). Cela étant, il sied de noter que le recourant garde la possibilité de solliciter auprès de l'office fédéral compétent, de manière ponctuelle, la délivrance de sauf-conduits afin de lui permettre de rencontrer les siens en Suisse. Au demeurant, il est loisible aux intéressés de se rencontrer hors de ce pays. La mesure d'éloignement prononcée à l'encontre du recourant ne constitue en définitive pas un obstacle insurmontable au maintien de relations familiales avec son épouse et ses deux enfants. Au vu de l'ensemble des éléments objectifs et subjectifs de la cause, le Tribunal estime donc que la mesure d'interdiction d'entrée prononcée par l'autorité inférieure le 4 février 2013, reconsidérée partiellement le 24 septembre 2013, est adéquate et que sa durée de dix ans respecte pleinement le principe de proportionnalité; cette durée apparaît comme justifiée également au regard de l'art. 8 CEDH, ainsi que de la jurisprudence en la matière.</w:t>
      </w:r>
    </w:p>
    <w:p>
      <w:r>
        <w:rPr>
          <w:b/>
        </w:rPr>
        <w:t>E. 6</w:t>
      </w:r>
    </w:p>
    <w:p>
      <w:r>
        <w:t>L'ODM a par ailleurs ordonné l'inscription de l'interdiction d'entrée dans le SIS. Ainsi que cela ressort du dossier, A._______ est un ressortissant d'un pays tiers au sens de la législation de l'Union européenne (cf. supra consid. 3.2).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3.2 in fine). 7.Il ressort de ce qui précède que la décision de l'ODM du 4 février 2013, reconsidérée partiellement le 24 septembre 2013, est conforme au droit. Le recours est en conséquence rejeté, dans la mesure où il n'est pas devenu sans objet du fait de la réduction de l'interdiction d'entrée à dix ans par l'ODM dans le cadre de l'échange d'écritures (cf. art. 58 al. 3 PA). Cela étant, vu l'issue de la procédure, il y a lieu de mettre des frais réduits, d'un montant de 500 francs, à la charge du recourant (art. 63 al. 1 PA en relation avec les art. 1 à 3 du règlement du Tribunal administratif fédéral du 21 février 2008 concernant les frais, dépens et indemnités fixés par le Tribunal administratif fédéral [FITAF, RS 173.320.2]). Le recourant obtenant partiellement gain de cause, il convient de lui accorder des dépens réduits (cf. art. 64 al. 1 PA en relation avec l'art. 7 al. 2 FITAF). Au vu de l'ensemble des circonstances du cas et de l'ampleur du travail accompli par la mandataire, le Tribunal estime, au regard de l'art. 8ss FITAF, que le versement de 400 francs à titre d'indemnité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