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C-2169/2008 vom 9. August 2010</w:t>
      </w:r>
    </w:p>
    <w:p>
      <w:r>
        <w:t>Bundesverwaltungsgericht, 2010-08-09, DE</w:t>
      </w:r>
    </w:p>
    <w:p>
      <w:r>
        <w:rPr>
          <w:b/>
        </w:rPr>
        <w:t xml:space="preserve">Quelle: </w:t>
      </w:r>
      <w:r>
        <w:t>https://mcp.opencaselaw.ch/entscheid/bvger_C-2169_2008</w:t>
      </w:r>
    </w:p>
    <w:p>
      <w:r>
        <w:t>FR: TAF C-2169/2008 du 9 août 2010</w:t>
      </w:r>
    </w:p>
    <w:p>
      <w:r>
        <w:t>IT: TAF C-2169/2008 del 9 agosto 2010</w:t>
      </w:r>
    </w:p>
    <w:p>
      <w:pPr>
        <w:pStyle w:val="Heading2"/>
      </w:pPr>
      <w:r>
        <w:t>Regeste</w:t>
      </w:r>
    </w:p>
    <w:p>
      <w:r>
        <w:t>Invaliditätsbemessung</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Verfahrensregeln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die eine Vorinstanz des Bundesverwaltungsgerichts darstellt (Art. 33 Bst. d VGG; vgl. auch Art. 69 Abs. 1 Bst. b IVG). Eine Ausnahme, was das Sachgebiet angeht, ist in casu nicht gegeben (Art. 32 VGG).</w:t>
      </w:r>
    </w:p>
    <w:p>
      <w:r>
        <w:rPr>
          <w:b/>
        </w:rPr>
        <w:t>E. 1.3</w:t>
      </w:r>
    </w:p>
    <w:p>
      <w:r>
        <w:t>Die Beschwerde wurde frist- und formgerecht eingereicht (vgl. Art. 38 ff. und Art. 60 ATSG sowie Art. 52 VwVG). Als Adressat der angefochtenen Verfügung ist der Beschwerdeführer berührt und hat ein schutzwürdiges Interesse an deren Aufhebung oder Änderung (vgl. Art. 59 ATSG). Nachdem auch der Kostenvorschuss fristgerecht geleistet wurde, ist auf die Beschwerde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Anfechtungsobjekt bildet die Verfügung der Vorinstanz vom 29. November 2007, mit welcher der Anspruch des Beschwerdeführers auf eine Rente abgewiesen wurde. Streitig und zu prüfen ist der Rentenanspruch des Beschwerdeführers und in diesem Zusammenhang insbesondere, ob die Vorinstanz den Sachverhalt rechtsgenüg-lich abgeklärt und gewürdigt hat.</w:t>
      </w:r>
    </w:p>
    <w:p>
      <w:r>
        <w:rPr>
          <w:b/>
        </w:rPr>
        <w:t>E. 2.1</w:t>
      </w:r>
    </w:p>
    <w:p>
      <w:r>
        <w:t>Der Beschwerdeführer ist spanischer Staatsangehöriger mit Wohnsitz in Spanien, so dass vorliegend das Abkommen zwischen der Schweizerischen Eidgenossenschaft einerseits und der Europäischen Gemeinschaft andererseits über die Freizügigkeit vom 21. Juni 1999 (Freizügigkeitsabkommen, im Folgenden: FZA, SR 0.142.112.681) anwendbar ist (Art. 80a IVG). Das Freizügigkeitsabkommen setzt die verschiedenen älteren bilateralen Abkommen zwischen der Schweizerischen Eidgenossenschaft und den einzelnen Mitgliedstaaten der Europäischen Union (EU)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richtet sich die Bestimmung der Invalidität und die Berechnung der Rentenhöhe auch im Geltungsbereich des FZA nach schweizerischem Recht (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Erw. 3.1.1, 131 V 11 Erw.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[im Folgenden: BGer] 8C_373/2008 vom 28. August 2008 Erw.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29. November 2007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 des Rentenbeginns gilt das alte Recht, da vorliegend der Versicherungsfall vor dem 1. Januar 2008 eingetreten ist und sich der Beschwerdeführer vor dem 31. Dezember 2008 angemeldet hat.</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dem 1. Januar 2007: Bundesgericht) stellt diese Regelung nicht eine blosse Auszahlungsvorschrift, sondern eine besondere Anspruchsvoraussetzung dar (BGE 121 V 275 E. 6c).</w:t>
      </w:r>
    </w:p>
    <w:p>
      <w:r>
        <w:rPr>
          <w:b/>
        </w:rPr>
        <w:t>E. 2.5</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 abgesehen von einer Ausnahme, die vorliegend ohne Belang ist. Vorliegend ist demnach zu prüfen, ob der Beschwerdeführer spätestens am 30. Januar 2006, d.h. zwölf Monate vor der Antragsstellung (vgl. Bst. A. hiervor), Anspruch auf Leistungen der IV erworben hat oder ob ein solcher Anspruch danach bis zum Erlass der angefochtenen Verfügung (29. November 2007) entstanden ist.</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2.7</w:t>
      </w:r>
    </w:p>
    <w:p>
      <w:r>
        <w:t>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Den Stellungnahmen der RAD oder der ärztlichen Dienste der IV-Stellen kommt nur dann materiell Gutachtensqualität zu, wenn sie den allgemeinen beweisrechtlichen Anforderungen an einen ärztlichen Bericht genügen (vgl. Urteil des EVG I 694/05 vom 15. Dezember 2006 E. 2). Andernfalls kommt derartigen Berichten nicht volle Beweiskraft zu. Die Ärzte müssen sodann über die im Einzelfall gefragten persönlichen und fachlichen Qualifikationen verfügen (Urteile des BGer I 142/07 vom 20. November 2007 E. 3.2.3 und I 362/06 vom 10. April 2007 E. 3.2.1),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BGer 9C_323/2009 vom 14. Juli 2009 E. 4.3.1 sowie I 1094/06 vom 14. November 2007 E. 3.1.1, beide mit Hinweisen).</w:t>
      </w:r>
    </w:p>
    <w:p>
      <w:r>
        <w:rPr>
          <w:b/>
        </w:rPr>
        <w:t>E. 3</w:t>
      </w:r>
    </w:p>
    <w:p>
      <w:r>
        <w:t>Die IVSTA stützte sich im Rahmen des Erlasses der angefochtenen Verfügung vom 29. November 2007 insbesondere auf den Bericht von Dr. med. A._______, Facharzt in Allgemeinmedizin, vom medizinischen Dienst der IVSTA vom 24. September 2007 (act. 31). Dieser Bericht ist nachfolgend zusammengefasst wiederzugeben und zu würdigen.</w:t>
      </w:r>
    </w:p>
    <w:p>
      <w:r>
        <w:rPr>
          <w:b/>
        </w:rPr>
        <w:t>E. 3.1</w:t>
      </w:r>
    </w:p>
    <w:p>
      <w:r>
        <w:t>Dr. med. A._______ stellte - nach Würdigung diverser medizinischer Akten aus dem Ausland (act. 18 bis 29) - die Hauptdiagnose einer Coxarthrose rechts mehr als links sowie einen Status nach Endoprothesenimplantation im Mai 2007. Unter "Nebendiagnose ohne Auswirkung auf die Arbeitsfähigkeit" führte er zusätzlich eine Gonarthrose auf. Diese gestellten Diagnosen verkörpern degenerative Leiden und stellen als solche ein labiles pathologisches Geschehen dar - also Leiden, die sich verschlimmern oder verbessern können. Vorliegend gelangt demnach Art. 29 Abs. 1 Bst. b IVG (ab 1. Januar 2008: Art. 28 Abs. 1 Bst. b IVG) zur Anwendung, wonach der Rentenanspruch frühestens in dem Zeitpunkt entsteht, in welchem die versicherte Person während eines Jahres ohne wesentlichen Unterbruch durchschnittlich mindestens zu 40 % arbeitsunfähig gewesen ist.</w:t>
      </w:r>
    </w:p>
    <w:p>
      <w:r>
        <w:rPr>
          <w:b/>
        </w:rPr>
        <w:t>E. 3.2</w:t>
      </w:r>
    </w:p>
    <w:p>
      <w:r>
        <w:t>Hinsichtlich des Einflusses der diagnostizierten gesundheitlichen Beeinträchtigungen auf die Arbeits- und Leistungsfähigkeit des Beschwerdeführers berichtete Dr. med. A._______, die beidseitige Coxarthrose gestatte die Fortführung der bisherigen Arbeit als Fabrikarbeiter auch nach einseitiger prothetischer Therapie nicht mehr; in der bisherigen Tätigkeit bestehe eine 70%ige Arbeitsunfähigkeit seit dem 19. Oktober 2006. Eine leichte Verweisungstätigkeit in wechselnder, vorwiegend sitzender Stellung könne aber jederzeit, insbesondere nach der Operation, uneingeschränkt ausgeübt werden.</w:t>
      </w:r>
    </w:p>
    <w:p>
      <w:r>
        <w:rPr>
          <w:b/>
        </w:rPr>
        <w:t>E. 3.3</w:t>
      </w:r>
    </w:p>
    <w:p>
      <w:r>
        <w:t>Die Stellungnahme von Dr. med. A._______ basiert nicht auf eigenen Untersuchungen und Befunderhebungen und ist daher nicht als Untersuchungsbericht im Sinne von Art. 49 Abs. 2 IVV zu qualifizieren. Das Absehen von eigenen Untersuchungen ist allerdings noch kein Grund, um die Stellungnahme des medizinischen Dienstes in Frage zu stellen. Auf diese kann jedoch nur unter der Bedingung abgestellt werden, dass sie den allgemeinen beweisrechtlichen Anforderungen an einen ärztlichen Bericht genügt und zudem der berichterstattende Arzt über die im Einzelfall gefragten persönlichen und fachlichen Qualifikationen verfügen (vgl. E. 2.7 hiervor). Mit Blick auf die beim Beschwerdeführer vorliegenden Gesundheitsbeeinträchtigungen - insbesondere im orthopädischen Bereich - kann auf die Stellungnahme von Dr. med. A._______, einem Facharzt für Allgemeine Medizin, nicht ohne Weiteres abgestellt werden. Vorliegend wäre das Einholen von Berichten entsprechend ausgebildeter Spezialärzte notwendig gewesen, da nur diese über das erforderliche Fachwissen verfügen, um die Leiden des Beschwerdeführers ausreichend beurteilen zu können. Mangels einer rechtsgenüglichen ärztlichen Beurteilung der somatischen Beeinträchtigungen kann folglich nicht mit der erforderlichen überwiegenden Wahrscheinlichkeit festgestellt werden, in welchem Ausmass der Beschwerdeführer in seiner Arbeits- und Leistungsfähigkeit eingeschränkt ist. Hinzu kommt weiter, dass sich aus den Ausführungen von Dr. med. A._______ betreffend die Zumutbarkeit der bisherigen Tätigkeit insofern ein Widerspruch ergibt, als er einerseits dafür hält, dass die beidseitige Coxarthrose die Fortführung der bisherigen Arbeit auch nach einseitiger prothetischer Therapie nicht mehr gestatte und andererseits dennoch bloss eine 70%ige Arbeitsunfähigkeit in der bisherigen Arbeitstätigkeit seit dem 19. Oktober 2006 attestiert. Nicht klar erstellt ist zudem, ob die von Dr. med. A._______ genannte Gonarthrose tatsächlich als Nebendiagnose ohne Auswirkungen auf die Arbeitsfähigkeit zu qualifizieren ist, führen doch sowohl Dr. med. F._______ als auch andere Ärzte aus Spanien die Gonarthrose nebst der beidseitigen Coxarthrose als Hauptdiagnosen auf (act. 23, 25 und 26 Ziff. 7). Die Frage nach allfälligen Auswirkungen der Gonarthrose auf die Arbeitsfähigkeit kann anhand der vorliegenden Akten nicht schlüssig und widerspruchsfrei beantwortet werden.</w:t>
      </w:r>
    </w:p>
    <w:p>
      <w:r>
        <w:rPr>
          <w:b/>
        </w:rPr>
        <w:t>E. 3.4</w:t>
      </w:r>
    </w:p>
    <w:p>
      <w:r>
        <w:t>Auch bei dem von Dr. med. F._______ verfassten Bericht vom 16. Januar 2007 (Formular E 213; act. 26) dürfte es sich - wie bei demjenigen von Dr. med. A._______ - um einen reinen Aktenbericht handeln, was zwar grundsätzlich nicht gegen dessen Beweiskraft spricht (vgl. E. 2.7 und 3.3). Da aber auch dieser Bericht die allgemeinen beweisrechtlichen Anforderungen nicht erfüllt, kann er ebenfalls nicht als rechtsgenügliche Entscheidgrundlage dienen. Weiter ist diesem Bericht zwar der Name des Verfassers zu entnehmen, nicht jedoch, ob Dr. med. F._______ über die vorliegend unabdingbare fachliche Qualifikation verfügt. Auch wenn die Ausführungen der Dres. med. F._______ und A._______ in zentralen Punkten weitgehend übereinstimmen (Unzumutbarkeit der bisher ausgeübten Erwerbstätigkeit, Zumutbarkeit von leidensangepsssten Verweisungstätigkeiten), kann mangels ausreichender fachlicher Qualifikation dieser Ärzte und fehlender Gutachtensqualität ihrer Stellungnahmen nicht mit überwiegender Wahrscheinlichkeit festgestellt werden, ob diese Einschätzungen zutreffen.</w:t>
      </w:r>
    </w:p>
    <w:p>
      <w:r>
        <w:rPr>
          <w:b/>
        </w:rPr>
        <w:t>E. 3.5</w:t>
      </w:r>
    </w:p>
    <w:p>
      <w:r>
        <w:t>Weiter ist festzuhalten, dass auch der Bericht von Dr. med. D._______ vom 20. Februar 2006 (act. 25) keine rechtsgenügliche Entscheidgrundlage bietet. Zwar verfügt Dr. med. D._______ als Facharzt für Traumatologie über die erforderliche Fachqualifikation. Jedoch sind seine Ausführungen, wonach der Beschwerdeführer in sämtlichen Tätigkeiten arbeitsunfähig sein soll, nicht schlüssig und nachvollziehbar, zumal Dr. med. D._______ auf eine einlässliche Begründung seiner Beurteilung verzichtet hat.</w:t>
      </w:r>
    </w:p>
    <w:p>
      <w:r>
        <w:rPr>
          <w:b/>
        </w:rPr>
        <w:t>E. 3.6</w:t>
      </w:r>
    </w:p>
    <w:p>
      <w:r>
        <w:t>Schliesslich ist darauf hinzuweisen, dass die weiteren ausländischen Arztberichte schon deshalb nicht ausreichend beweiskräftig sind, weil sie sich nicht zur Arbeits- und Leistungsfähigkeit in der bisherigen, angestammten Tätigkeit oder in geeigneten Verweisungstätigkeiten äussern (act. 18 bis 24, 27 bis 29).</w:t>
      </w:r>
    </w:p>
    <w:p>
      <w:r>
        <w:rPr>
          <w:b/>
        </w:rPr>
        <w:t>E. 4</w:t>
      </w:r>
    </w:p>
    <w:p>
      <w:r>
        <w:t>Die angefochtene Verfügung vom 29. November 2007 beruht damit in medizinischer Hinsicht auf einem unvollständig bzw. unkorrekt ermittelten Sachverhalt (vgl. Art. 49 Bst. b VwVG und Art. 49 ATSG), weshalb im vorliegenden Verfahren nicht beurteilt werden kann, ob ein Rentenanspruch besteht. Aus diesem Grund hat die Vorinstanz ergänzende medizinische Abklärungen durchzuführen und den Beschwerdeführer ärztlich begutachten zu lassen. Die Beantwortung der ungeklärten Fragen resp. die Klärung der Widersprüche hat durch eine Expertin oder einen Experten auf den Fachgebieten der Rheumatologie und/oder Orthopädie zu erfolgen. Klärungsbedarf besteht schliesslich auch hinsichtlich der vom Beschwerdeführer nachträglich geltend gemachten psychosomatischen Beschwerden, weshalb auch in neurologisch/psychiatrischer Hinsicht eine ergänzende ärztliche Begutachtung durchzuführen ist. Mit Blick auf die somatischen Leiden und die allenfalls vorhandenen psychischen Gesundheitsbeeinträchtigungen haben die ergänzenden medizinischen Abklärungen interdisziplinär - vorzugsweise in einer MEDAS - zu erfolgen. Weiter hat die Vorinstanz nach Vorliegen der interdisziplinären Begutachtungsresultate abzuklären, ob und in welchem Ausmass der Beschwerdeführer infolge seines Gesundheitszustandes auf dem ihm nach seinen Fähigkeiten offen stehenden ausgeglichenen Arbeitsmarkt zumutbarerweise erwerbstätig sein könnte (vgl. hierzu Urteil des BGer 9C_921/2009 vom 22. Juni 2010, E. 5.3). Nach dem Dargelegten ist die Beschwerde in dem Sinne gutzuheissen, als die angefochtene Verfügung aufzuheben und die Sache mit der Anweisung an die Vorinstanz zurückzuweisen ist, ergänzende spezialärztliche (orthopädisch/rheumatologische und neurologisch/ psychiatrische) Begutachtungen durchführen zu lassen und anschliessend in der Sache neu zu verfügen.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dem Beschwerdeführer keine Kosten aufzuerlegen. Der bereits geleistete Kostenvorschuss von Fr. 400.- ist dem Beschwerdeführer zurückzuerstatten. Der Vorinstanz werden ebenfalls keine Verfahrenskosten auferlegt (Art. 63 Abs. 2 VwVG).</w:t>
      </w:r>
    </w:p>
    <w:p>
      <w:r>
        <w:rPr>
          <w:b/>
        </w:rPr>
        <w:t>E. 5.2</w:t>
      </w:r>
    </w:p>
    <w:p>
      <w:r>
        <w:t>Der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Unter Berücksichtigung des gebotenen und aktenkundigen Aufwandes erscheint eine Parteientschädigung für Advokat Y._______ von Fr. 1'500.-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