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C-2166/2011 vom 17. September 2012</w:t>
      </w:r>
    </w:p>
    <w:p>
      <w:r>
        <w:t>Bundesverwaltungsgericht, 2012-09-17, FR</w:t>
      </w:r>
    </w:p>
    <w:p>
      <w:r>
        <w:rPr>
          <w:b/>
        </w:rPr>
        <w:t xml:space="preserve">Quelle: </w:t>
      </w:r>
      <w:r>
        <w:t>https://mcp.opencaselaw.ch/entscheid/bvger_C-2166_2011</w:t>
      </w:r>
    </w:p>
    <w:p>
      <w:r>
        <w:t>FR: TAF C-2166/2011 du 17 septembre 2012</w:t>
      </w:r>
    </w:p>
    <w:p>
      <w:r>
        <w:t>IT: TAF C-2166/2011 del 17 settembre 2012</w:t>
      </w:r>
    </w:p>
    <w:p>
      <w:pPr>
        <w:pStyle w:val="Heading2"/>
      </w:pPr>
      <w:r>
        <w:t>Regeste</w:t>
      </w:r>
    </w:p>
    <w:p>
      <w:r>
        <w:t>Droit à la rente</w:t>
      </w:r>
    </w:p>
    <w:p>
      <w:pPr>
        <w:pStyle w:val="Heading2"/>
      </w:pPr>
      <w:r>
        <w:t>Erwägungen</w:t>
      </w:r>
    </w:p>
    <w:p>
      <w:r>
        <w:rPr>
          <w:b/>
        </w:rPr>
        <w:t>E. 1.1</w:t>
      </w:r>
    </w:p>
    <w:p>
      <w:r>
        <w:t>En application de l'art. 40 al. 1 et 2 du règlement du 17 janvier 1961 sur l'assurance-invalidité (RAI), dans sa teneur en vigueur jusqu'au 31 décembre 2011, l'office AI du secteur d'activité dans lequel le frontalier a travaillé est compétent pour examiner les demandes présentées par des frontaliers, tandis que les décisions sont notifiées par l'OAIE. C'est donc à juste titre que l'OCAI-GE a instruit la cause de la recourante dont l'issue lui a été notifiée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Ainsi, le droit à une rente de l'assurance-invalidité doit être examiné au regard de l'ancien droit pour la période jusqu'au 31 décembre 2007 et, après le 1er janvier 2008, en fonction des modifications introduites par la 5e révision de la LAI (RO 2007 5147), étant précisé que l'application du nouveau droit ne modifie pas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 Les atteintes à la santé ayant eu lieu in casu essentiellement en 2008, les dispositions de la LAI, de son règlement d'exécution et de la LPGA, seront donc citées, sauf mention contraire, dans leur teneur en vigueur jusqu'au 31 décembre 2011.</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la recourante remplit la condition liée à la durée minimale de cotisations. Il reste dès lors à examiner si l'intéressée pouvait être qualifiée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en moyenne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En présence d'avis médicaux contradictoires, le juge doit apprécier l'ensemble des preuves à disposition et indiquer les motifs pour lesquels il se fonde sur une appréciation plutôt que sur une autre.</w:t>
      </w:r>
    </w:p>
    <w:p>
      <w:r>
        <w:rPr>
          <w:b/>
        </w:rPr>
        <w:t>E. 8</w:t>
      </w:r>
    </w:p>
    <w:p>
      <w:r>
        <w:t>En l'espèce le refus de prestations AI repose sur le diagnostic de fibromyalgie, syndrome du tunnel carpien bilatéral, cervico-brachialgies bilatérales et discopathies cervicales. Les conséquences de ces atteintes à la santé sur la capacité de travail de la recourante sont diversement appréciées par les médecins appelés à se prononcer sur les aptitudes résiduelles de l'assurée. Selon le Dr F._______, neurologue, l'ancienne activité est exclue mais une activité adaptée exercée uniquement en position assise serait exigible à 50%. Le Dr G._______, chirurgien orthopédiste, ne se prononce pas sur la capacité de travail, étant d'avis qu'un examen complémentaire serait nécessaire pour l'évaluer. A noter que ce médecin diagnostiquait en novembre 2008 (rapport du 12 février 2009) un syndrome du défilé thoracique qu'il n'évoque plus en octobre 2009. Bien qu'il juge alors l'état de santé stationnaire, il ne fait état que de douleurs cervicobrachiales. Le Dr C._______, médecin traitant de l'assurée, réduit la capacité de travail à 20%. Quant au Dr J._______, rhumatologue, il estime qu'en tenant compte d'une diminution de rendement consécutive aux contraintes rachidiennes de l'activité de serveuse, celle-ci reste exigible à 75%. Le Dr K._______, psychiatre, ne voit lui aucune contre-indication d'ordre psychique à l'exercice de n'importe quelle activité.</w:t>
      </w:r>
    </w:p>
    <w:p>
      <w:r>
        <w:rPr>
          <w:b/>
        </w:rPr>
        <w:t>E. 9.1</w:t>
      </w:r>
    </w:p>
    <w:p>
      <w:r>
        <w:t>Selon la jurisprudence consécutive à celle des troubles somatoformes douloureux (cf. ATF 130 V 352), les syndromes sans pathogenèse ni étiologie claires et sans constat de déficit organique ne peuvent conduire à une incapacité de travail que dans certaines circonstances exceptionnelles (cf. ATF 137 V 54 consid. 4-5 et références citées). Il existe une présomption que ces affections ou ses effets peuvent être surmontés par un effort de volonté raisonnablement exigible. De tels troubles entrent souvent dans la catégorie des affections psychiques pour lesquelles une expertise psychiatrique est en principe nécessaire quand il s'agit d'évaluer l'incapacité de travail qu'ils sont susceptibles d'entraîner (Pratique VSI 2000 p. 160; ATF 130 V 352 consid. 2.2.2). Il en va ainsi de la fibromyalgie, quand bien même ce diagnostic est d'abord le fait d'un médecin rhumatologue (ATF 132 V 65 consid. 4.3).</w:t>
      </w:r>
    </w:p>
    <w:p>
      <w:r>
        <w:rPr>
          <w:b/>
        </w:rPr>
        <w:t>E. 9.2</w:t>
      </w:r>
    </w:p>
    <w:p>
      <w:r>
        <w:t>La question de savoir si les circonstances exceptionnelles conduisant à une incapacité de travail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135 V 215 consid. 6.1 et 6.2).</w:t>
      </w:r>
    </w:p>
    <w:p>
      <w:r>
        <w:rPr>
          <w:b/>
        </w:rPr>
        <w:t>E. 10.1</w:t>
      </w:r>
    </w:p>
    <w:p>
      <w:r>
        <w:t>L'autorité inférieure fonde son refus sur la prise de position de la Dresse I._______, médecin à son service, qui se réfère aux expertises des Drs J._______ et K._______. L'expertise du Dr J._______ - qui possède la spécialisation requise pour poser le diagnostic de fibromyalgie - est en tout point conforme aux exigences de la jurisprudence précitée. Elle établit l'anamnèse et tient compte des plaintes subjectives de l'assurée, lesquelles ne sont que partiellement corroborée par l'examen clinique. En effet, si l'expert relève un certain degré de déconditionnement physique, il ne décèle pas de limitations fonctionnelles manifestes tant du squelette axial que périphérique. Le Dr J._______ reconnait une altération des disques vertébraux, modérée à importante, prédominante en C4-C5, associée à une petite hernie discale médiane et une discopathie protusive médiane paramédiane gauche discrète à modérée de C6-C7. Ce qui justifie une réduction de sa capacité de travail comme serveuse à 75 %, étant précisé qu'une autre activité plus légère serait exigible à 100%. En conformité avec la jurisprudence développée en présence d'un tableau clinique diffus sans déficit fonctionnel organique, à la suite des conclusions de l'expertise J._______, la Dresse I._______ a encore requis l'avis d'un psychiatre afin de déterminer si la fibromyalgie s'accompagnait de comorbidité psychiatrique d'importance, condition nécessaire pour reconnaître un caractère invalidant à ce type d'atteinte à la santé. Or, le Dr K._______, dans son rapport également établi in lege artis, l'exclut expressément (pce 95 p. 17).</w:t>
      </w:r>
    </w:p>
    <w:p>
      <w:r>
        <w:rPr>
          <w:b/>
        </w:rPr>
        <w:t>E. 10.2</w:t>
      </w:r>
    </w:p>
    <w:p>
      <w:r>
        <w:t>Ces deux expertises, qui ont pleine valeur probante, sont tout à fait concluantes. Contrairement à ce qu'allègue l'assurée, les rapports médicaux qu'elle a produit ou ceux versés par ses médecins en cours de procédure ont été pris en compte par le médecin du SMR qui les cite dans ses différentes prises de position. C'est par ailleurs précisément en raison de leur absence de congruence que la Dresse I._______ a diligenté d'autres expertises. De surcroît, les rapports et certificats de ces médecins sont extrêmement sommaires et succincts et ne satisfont pas les exigences de la jurisprudence au sujet des expertises. Il faut encore relever à ce propos que selon la jurisprudence concernant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10.3</w:t>
      </w:r>
    </w:p>
    <w:p>
      <w:r>
        <w:t>Tous les médecins consultés, y compris la Dresse du SMR, reconnaissent que la recourante est malade, mais - en dehors de cervicalgies dont il est admis qu'elles ont un impact sur la capacité de travail de la patiente - ces atteintes n'ouvrent pas le droit à une rente en droit suisse qui dispose qu'un effort de volonté est exigible pour surmonter la douleur dans de telles pathologies. Dans ce contexte, il sied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Dès lors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Pratique VSI 1998 p. 296 consid. 3b).</w:t>
      </w:r>
    </w:p>
    <w:p>
      <w:r>
        <w:rPr>
          <w:b/>
        </w:rPr>
        <w:t>E. 11</w:t>
      </w:r>
    </w:p>
    <w:p>
      <w:r>
        <w:t>Dans la même décision du 14 mars 2011, l'autorité inférieure a également refusé d'octroyer des mesures d'ordre professionnel.</w:t>
      </w:r>
    </w:p>
    <w:p>
      <w:r>
        <w:rPr>
          <w:b/>
        </w:rPr>
        <w:t>E. 11.1</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restante. Selon l'al. 3 let. b de cette disposition, les mesures d'ordre professionnel (orientation professionnelle, formation professionnelle initiale, reclassement, placement, aide en capital) sont au nombre des mesures de réadaptation. Cette disposition est précisée par l'art. 6 RAI qui définit la notion de reclassement et précise les frais pris en charge par l'assureur social.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(RCC 1984 p. 95; Pratique VSI 2000 p. 63). La rééducation dans la même profession est assimilée au reclassement (art. 17 al. 2 LAI). Selon l'art. 16 LPGA, la réadaptation est prioritaire par rapport à l'octroi de la rente, laquelle est versée dans la mesure où la réadaptation a échoué (cf. ATF 126 V 241 consid. 5, ATF 108 V 210 consid. 1d). Aux termes de l'art. 10 al. 2 LAI, les assurés ont droit aux mesures de réadaptation dès qu'elles sont indiquées en raison de leur âge et de leur état de santé.</w:t>
      </w:r>
    </w:p>
    <w:p>
      <w:r>
        <w:rPr>
          <w:b/>
        </w:rPr>
        <w:t>E. 11.2</w:t>
      </w:r>
    </w:p>
    <w:p>
      <w:r>
        <w:t>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2a, Pratique VSI 2000, p. 26; ATF 122 V 77 consid. 3b/bb; RCC 1992, p. 388; RCC 1988, p. 266; ATF 99 V 34, RCC 1974, p. 84). La notion d'"équivalence approximative" se rapporte tout d'abord non pas au niveau de formation en tant que tel, mais aux possibilités de gain à prévoir après la réadaptation (ATF 122 V 77 consid. 3b/bb).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du Tribunal fédéral I 552/2006 du 13 juin 2007, consid. 3.2; arrêt du Tribunal fédéral I 370/1998 du 26 août 1999 consid. 2, publié in Pratique VSI 2002 p. 111). L'assuré n'a pas droit aux meilleures mesures possibles dans les circonstances de son cas car la loi ne veut garantir la réadaptation que dans la mesure où elle est nécessaire mais aussi suffisante dans le cas d'espèce (ATF 124 V 108 consid 2b, Pratique VSI 2000 p. 26; Pratique VSI 2002 p. 109). Est généralement équivalente la profession exercée jusque là et non pas une formation professionnelle nettement supérieure ou qui dépasse les exigences moyennes (RCC 1988, p. 266 et p. 497). Comme toutes les mesures de réadaptation, les mesures de reclassement doivent être adéquates et il doit exister une proportion raisonnable entre les frais qu'elle entraîne et le résultat qu'on peut en attendre (RCC 1992, p. 388; ATF 110 V 99 consid. 2, RCC 1984 p. 287; ATF 103 V 16, RCC 1977, p. 345; Jean-Louis Duc, Les assurances sociales en Suisse, Lausanne 1995, n° 603). Un reclassement n'est pas nécessité par l'invalidité notamment lorsque l'assuré est suffisamment réadapté et qu'il est possible qu'il prenne un emploi correspondant à ses aptitudes, sans formation supplémentaire (RCC 1963, p. 127).</w:t>
      </w:r>
    </w:p>
    <w:p>
      <w:r>
        <w:rPr>
          <w:b/>
        </w:rPr>
        <w:t>E. 11.3</w:t>
      </w:r>
    </w:p>
    <w:p>
      <w:r>
        <w:t>Dans le cas d'espèce, des mesures de réadaptation avaient été immédiatement mises en oeuvre après le dépôt de la demande de prestations avant d'être suspendues en raison de l'état de santé de la recourante qui ne s'était pas encore stabilisé. En effet, l'intéressée avait manqué un tiers des cours de coaching qui lui avaient été octroyés. Dans le cadre de l'instruction de la demande, l'autorité inférieure est arrivée à la conclusion que l'assurée pourrait encore exercer son ancienne activité à 75% ou une autre activité adaptée à 100%. Même si l'assurée présente dans son ancienne activité une incapacité de travail de 25%, ce qui lui ouvrirait en principe le droit aux mesures de réadaptation au vu du seuil de 20% (cf. consid. 11.1), force est de constater que c'est à raison que l'autorité inférieure a refusé de la mettre au bénéfice d'une mesure de réadaptation en raison du défaut d'aptitude subjective de la recourante. L'intéressée est en effet convaincue qu'elle ne pouvait plus du tout travailler (ce qui ressort de ses nombreux courriers) et partant toute mesure qui n'est pas soutenue par la volonté de l'assurée serait vouée à l'échec. Cela étant, si la recourante a modifié ses dispositions à ce sujet, rien ne l'empêche de déposer une nouvelle demande, laquelle sera examinée à l'aune de l'art. 87 al. 3 et 4 RAI applicable par analogie aux prestations de réadaptation (ATF 130 V 64 consid 2, ATF 109 V 119 consid. 3b). De même, elle peut également requérir une aide au placement.</w:t>
      </w:r>
    </w:p>
    <w:p>
      <w:r>
        <w:rPr>
          <w:b/>
        </w:rPr>
        <w:t>E. 11.4</w:t>
      </w:r>
    </w:p>
    <w:p>
      <w:r>
        <w:t>Au vu de ce qui précède, la Cour de céans ne voit aucun motif de s'écarter de l'appréciation de l'autorité inférieure qui estime que les mesures de réadaptation n'étaient pas justifiées, en tout cas jusqu'à la date de la décision attaquée, et que l'assurée serait apte à travailler à 75% dans son ancienne activité ou à 100% dans une activité plus légère respectant les limitations fonctionnelles énumérées par le corps médical. Partant, le recours doit être rejeté et la décision sur opposition du 14 mars 2011 confirmée.</w:t>
      </w:r>
    </w:p>
    <w:p>
      <w:r>
        <w:rPr>
          <w:b/>
        </w:rPr>
        <w:t>E. 12.1</w:t>
      </w:r>
    </w:p>
    <w:p>
      <w:r>
        <w:t>La recourante, qui succombe, doit donc s'acquitter des frais de justice fixés, compte tenu de la charge liée à la procédure, à 400 francs (art. 63 al. 1 règlement du 21 février 2008 concernant les frais, dépens et indemnités fixés par le Tribunal administratif fédéral [FITAF, RS 173.320.2] et 69 al. 2 LAI). Ils sont compensés par l'avance de frais déjà versée de 400 francs.</w:t>
      </w:r>
    </w:p>
    <w:p>
      <w:r>
        <w:rPr>
          <w:b/>
        </w:rPr>
        <w:t>E. 12.2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