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C-2164/2022 vom 28. Juni 2023</w:t>
      </w:r>
    </w:p>
    <w:p>
      <w:r>
        <w:t>Bundesverwaltungsgericht, 2023-06-28, DE</w:t>
      </w:r>
    </w:p>
    <w:p>
      <w:r>
        <w:rPr>
          <w:b/>
        </w:rPr>
        <w:t xml:space="preserve">Quelle: </w:t>
      </w:r>
      <w:r>
        <w:t>https://mcp.opencaselaw.ch/entscheid/bvger_C-2164_2022</w:t>
      </w:r>
    </w:p>
    <w:p>
      <w:r>
        <w:t>FR: TAF C-2164/2022 du 28 juin 2023</w:t>
      </w:r>
    </w:p>
    <w:p>
      <w:r>
        <w:t>IT: TAF C-2164/2022 del 28 giugno 2023</w:t>
      </w:r>
    </w:p>
    <w:p>
      <w:pPr>
        <w:pStyle w:val="Heading2"/>
      </w:pPr>
      <w:r>
        <w:t>Regeste</w:t>
      </w:r>
    </w:p>
    <w:p>
      <w:r>
        <w:t>Zulassung von Spitälern (HSM)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Der Beschwerdeführerin werden Verfahrenskosten von Fr. 2'500.- auferlegt. Dieser Betrag wird dem geleisteten Kostenvorschuss von Fr. 5'000.- entnommen und der Restbetrag von Fr. 2'500.- wird der Beschwerdeführerin zurückerstattet.</w:t>
      </w:r>
    </w:p>
    <w:p>
      <w:r>
        <w:rPr>
          <w:b/>
        </w:rPr>
        <w:t>E. 3</w:t>
      </w:r>
    </w:p>
    <w:p>
      <w:r>
        <w:t>Der Beschwerdeführerin wird zu Lasten der Vorinstanz eine Parteientschädigung von CHF 2'500.- zugesprochen.</w:t>
      </w:r>
    </w:p>
    <w:p>
      <w:r>
        <w:rPr>
          <w:b/>
        </w:rPr>
        <w:t>E. 4</w:t>
      </w:r>
    </w:p>
    <w:p>
      <w:r>
        <w:t>Dieser Entscheid geht an die Beschwerdeführerin und die Vorinstanz. Der Einzelrichter: Der Gerichtsschreiber: Christoph Rohrer Milan Lazic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