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C-2164/2008 vom 19. Mai 2009</w:t>
      </w:r>
    </w:p>
    <w:p>
      <w:r>
        <w:t>Bundesverwaltungsgericht, 2009-05-19, DE</w:t>
      </w:r>
    </w:p>
    <w:p>
      <w:r>
        <w:rPr>
          <w:b/>
        </w:rPr>
        <w:t xml:space="preserve">Quelle: </w:t>
      </w:r>
      <w:r>
        <w:t>https://mcp.opencaselaw.ch/entscheid/bvger_C-2164_2008</w:t>
      </w:r>
    </w:p>
    <w:p>
      <w:r>
        <w:t>FR: TAF C-2164/2008 du 19 mai 2009</w:t>
      </w:r>
    </w:p>
    <w:p>
      <w:r>
        <w:t>IT: TAF C-2164/2008 del 19 maggio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Besuchervisums verweigert wird. In dieser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legitimiert.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die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Aufgrund ihrer Staatsangehörigkeit unterliegt die Gesuchstellerin damit der Visumspflicht.</w:t>
      </w:r>
    </w:p>
    <w:p>
      <w:r>
        <w:rPr>
          <w:b/>
        </w:rPr>
        <w:t>E. 7.1</w:t>
      </w:r>
    </w:p>
    <w:p>
      <w:r>
        <w:t>Zur Prüfung des Kriteriums der gesicherten Wiederausreise muss ein zukünftiges Verhalten beurteilt werden. Dazu lassen sich in der Regel keine gesicherten Feststellungen, sondern lediglich Voraussagen treffen. Dabei sind sämtliche Umstände des konkreten Einzelfalles zu würdigen.</w:t>
      </w:r>
    </w:p>
    <w:p>
      <w:r>
        <w:rPr>
          <w:b/>
        </w:rPr>
        <w:t>E. 7.2</w:t>
      </w:r>
    </w:p>
    <w:p>
      <w:r>
        <w:t>Anhaltspunkte zur Beurteilung der fristgerechten Wiederausreise können sich aus der allgemeinen Lage im Herkunftsland der Besucherin oder des Besuchers ergeben.</w:t>
      </w:r>
    </w:p>
    <w:p>
      <w:r>
        <w:rPr>
          <w:b/>
        </w:rPr>
        <w:t>E. 7.3</w:t>
      </w:r>
    </w:p>
    <w:p>
      <w:r>
        <w:t>Die Gesuchstellerin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Aus wirtschaftlicher Sicht ist es aber trotz grosser internationaler Unterstützung bisher nicht gelungen, eine Wachstumsdynamik im Kosovo einzuleiten; es herrscht wirtschaftliche Stagnation und die Arbeitslosigkeit bleibt hartnäckig hoch. So sind mehr als die Hälfte der Erwerbsfähigen ohne oder zumindest ohne regelmässiges Einkommen. Der Armutsanteil der Bevölkerung im Kosovo lag im Jahr 2008 bei 45%; 15% der Staatsbürger leben sogar in extremer Armut (vgl. &lt;http://www.worldbank.org&gt;, Countries &gt; Europe and Central Asia &gt; Kosovo &gt; Overview &gt; Kosovo Brief - April 2009, besucht am 12. Mai 2009). Der Zuwanderungsdruck aus dieser Region ist dementsprechend hoch, was sich auch in der schweizerischen Asylstatistik widerspiegelt. So stammten im Jahr 2008 7.8% der Asylsuchenden aus dem Gebiet von Serbien und dem Kosovo. Diese Region steht damit in der Statistik der Asylgesuche nach Nationen an vierter Stelle (vgl. kommentierte BFM-Asylstatistik 2008, S. 9). Seit dem 1. April 2009 gelten Serbien und Kosovo zwar als verfolgungssichere Staaten (so genannte Safe Countries), dies gemäss Beschluss des Bundesrats vom 6. März 2009. Es wird sich aber zeigen müssen, ob und falls ja, welchen Einfluss dies auf künftige Asylbewerberzahlen haben wird.</w:t>
      </w:r>
    </w:p>
    <w:p>
      <w:r>
        <w:rPr>
          <w:b/>
        </w:rPr>
        <w:t>E. 7.4</w:t>
      </w:r>
    </w:p>
    <w:p>
      <w:r>
        <w:t>In Anbetracht der vorerwähnten Verhältnisse im Kosovo und unter Berücksichtigung der Tatsache, dass die Bereitschaft zur Emigration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in der Herkunftsregion auf eine nicht hinreichend gesicherte Wiederausreise zu schliessen. Die vorerwähnten Verhältnisse entbinden die Vorinstanz nicht von einer einzelfallbezogenen Beurteilung. Namentlich können berufliche, gesellschaftliche oder familiäre Verpflichtungen die Prognose einer anstandslosen Wiederausreise begünstigen.</w:t>
      </w:r>
    </w:p>
    <w:p>
      <w:r>
        <w:rPr>
          <w:b/>
        </w:rPr>
        <w:t>E. 8.1</w:t>
      </w:r>
    </w:p>
    <w:p>
      <w:r>
        <w:t>Bei der Gesuchstellerin handelt es sich um eine 24-jährige, ledige und kinderlose Frau. Sie lebt zusammen mit ihren Eltern in häuslicher Gemeinschaft. Auch wenn sie dort - wie in der Beschwerde geltend gemacht - gewisse familiäre Verpflichtungen haben sollte, kann von einer besonderen Verwurzelung, welche die Prognose einer fristgerechten Wiederausreise nach einem Besuchsaufenthalt begünstigen könnte, nicht die Rede sein. Denn der Vater ist offensichtlich nicht ausschliesslich auf die Betreuung und Pflege durch die Gesuchstellerin angewiesen, sonst wäre es ihr nicht möglich, ihn bzw. ihre Eltern für drei Monate allein zu lassen. Gemäss Angaben des Beschwerdeführers kann sich nämlich auch seine älteste Schwester um die Eltern kümmern (vgl. Antwortschreiben des Beschwerdeführers an die kantonale Migrationsbehörde vom 19. Januar 2008).</w:t>
      </w:r>
    </w:p>
    <w:p>
      <w:r>
        <w:rPr>
          <w:b/>
        </w:rPr>
        <w:t>E. 8.2</w:t>
      </w:r>
    </w:p>
    <w:p>
      <w:r>
        <w:t>Die wirtschaftlichen Verhältnisse, in denen sich die Gesuchstellerin befindet, lassen ebenfalls nicht auf eine günstige Prognose bezüglich einer gesicherten Wiederausreise schliessen. Als Beruf hat sie Hausfrau angegeben (vgl. Visumantrag vom 27. November 2007). Aus den Akten ergibt sich nicht, dass sie sonst einer Erwerbstätigkeit nachgeht oder Vermögen hat. Von einer beruflichen Verpflichtung, welche die Geschstellerin verlässlich von einer Emigration abzuhalten vermöchte, kann somit nicht ausgegangen werden.</w:t>
      </w:r>
    </w:p>
    <w:p>
      <w:r>
        <w:rPr>
          <w:b/>
        </w:rPr>
        <w:t>E. 8.3</w:t>
      </w:r>
    </w:p>
    <w:p>
      <w:r>
        <w:t>Die Vorinstanz durfte vor dem aufgezeigten allgemeinen und persönlichen Hintergrund demnach davon ausgehen, dass keine hinreichende Gewähr für eine fristgerechte und anstandslose Wiederausreise der Gesuchstellerin nach einem Besuchsaufenthalt besteht.</w:t>
      </w:r>
    </w:p>
    <w:p>
      <w:r>
        <w:rPr>
          <w:b/>
        </w:rPr>
        <w:t>E. 8.4</w:t>
      </w:r>
    </w:p>
    <w:p>
      <w:r>
        <w:t>Bei dieser Sachlage kann offen bleiben, ob die erst in der Beschwerde deklarierte Absicht, der Ehefrau des Beschwerdeführers wegen der Geburt des zweiten Kindes im Haushalt zu helfen, vom Visumszweck (der nur zu einem Besuchsaufenthalt, nicht aber zu einer Tätigkeit berechtigt, die normalerweise auf Erwerb ausgerichtet ist) gedeckt gewesen wäre (vgl. Entscheid des Eidgenössischen Justiz- und Polizeidepartements vom 22. September 1997, auszugsweise publiziert in: Verwaltungspraxis der Bundesbehörden [VPB 63.37]; Urteile des Bundesverwaltungsgerichts C-4553/2007 vom 2. September 2008 E. 5.6 und C-1001/2007 vom 7. Juli 2008 E. 6, vgl. auch Urteil des Bundesgerichts 2A.76/2007 vom 12. Juni 2007 E. 3).</w:t>
      </w:r>
    </w:p>
    <w:p>
      <w:r>
        <w:rPr>
          <w:b/>
        </w:rPr>
        <w:t>E. 9</w:t>
      </w:r>
    </w:p>
    <w:p>
      <w:r>
        <w:t>Aus diesen Darlegungen folgt, dass die angefochtene Verfügung rechtmässig ist (Art. 49 VwVG). Die Beschwerde ist daher abzuweisen.</w:t>
      </w:r>
    </w:p>
    <w:p>
      <w:r>
        <w:rPr>
          <w:b/>
        </w:rPr>
        <w:t>E. 10</w:t>
      </w:r>
    </w:p>
    <w:p>
      <w:r>
        <w:t>Dem Ausgang des Verfahrens entsprechend wird der unterliegende Beschwerdeführer kostenpflichtig (Art. 63 Abs. 1 VwVG). Die Verfahrenskosten sind auf Fr. 600.- festzusetzen (Art. 1, 2 und 3 Bst. b des Reglements vom 21. Februar 2008 über die Kosten und Entschädigungen vor dem Bundesverwaltungsgericht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