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C-2161/2017 vom 6. Juni 2019</w:t>
      </w:r>
    </w:p>
    <w:p>
      <w:r>
        <w:t>Bundesverwaltungsgericht, 2019-06-06, DE</w:t>
      </w:r>
    </w:p>
    <w:p>
      <w:r>
        <w:rPr>
          <w:b/>
        </w:rPr>
        <w:t xml:space="preserve">Quelle: </w:t>
      </w:r>
      <w:r>
        <w:t>https://mcp.opencaselaw.ch/entscheid/bvger_C-2161_2017</w:t>
      </w:r>
    </w:p>
    <w:p>
      <w:r>
        <w:t>FR: TAF C-2161/2017 du 6 juin 2019</w:t>
      </w:r>
    </w:p>
    <w:p>
      <w:r>
        <w:t>IT: TAF C-2161/2017 del 6 giugno 2019</w:t>
      </w:r>
    </w:p>
    <w:p>
      <w:pPr>
        <w:pStyle w:val="Heading2"/>
      </w:pPr>
      <w:r>
        <w:t>Regeste</w:t>
      </w:r>
    </w:p>
    <w:p>
      <w:r>
        <w:t>Spezialitätenliste</w:t>
      </w:r>
    </w:p>
    <w:p>
      <w:pPr>
        <w:pStyle w:val="Heading2"/>
      </w:pPr>
      <w:r>
        <w:t>Erwägungen</w:t>
      </w:r>
    </w:p>
    <w:p>
      <w:r>
        <w:rPr>
          <w:b/>
        </w:rPr>
        <w:t>E. 1.1</w:t>
      </w:r>
    </w:p>
    <w:p>
      <w:r>
        <w:t>Gemäss Art. 31 VGG in Verbindung mit Art. 33 lit. d VGG sowie Art. 5 VwVG beurteilt das Bundesverwaltungsgericht insbesondere Beschwerden gegen Verfügungen der Departemente und der ihnen unterstellten oder administrativ zugeordneten Dienststellen der Bundesverwaltung, wozu auch das BAG gehört. Das BAG ist daher eine Vorinstanz des Bundesverwaltungsgerichts.</w:t>
      </w:r>
    </w:p>
    <w:p>
      <w:r>
        <w:rPr>
          <w:b/>
        </w:rPr>
        <w:t>E. 1.2</w:t>
      </w:r>
    </w:p>
    <w:p>
      <w:r>
        <w:t>Angefochten sind vorliegend einerseits die Verfügung des BAG vom [...] sowie das Schreiben vom [...]. Da den beiden Verwaltungsgerichtsbeschwerden derselbe Sachverhalt zu Grunde liegt, sich die gleichen Rechtsfragen stellen und die Rechtsmittel einen an die Beschwerdeführerin gerichteten vorinstanzlichen Entscheid betreffen, rechtfertigt es sich, die beiden Verfahren C-2161/2017 und C-1747/2019 zu vereinigen und in einem einzigen Urteil zu erledigen, zumal auch die Vorinstanz die Vereinigung beantragt und die Beschwerdeführerin nichts dagegen einzuwenden hat (vgl. zum Ganzen BGE 128 V 124 E. 1; Moser/Beusch/Kneubühler, Prozessieren vor dem Bundesverwaltungsgericht, 2. Aufl. 2013, Rz. 3.17 m.w.H.).</w:t>
      </w:r>
    </w:p>
    <w:p>
      <w:r>
        <w:rPr>
          <w:b/>
        </w:rPr>
        <w:t>E. 1.3.1</w:t>
      </w:r>
    </w:p>
    <w:p>
      <w:r>
        <w:t>Art. 5 Abs. 1 VwVG definiert die Verfügung als Anordnung der Behörden im Einzelfall, die sich auf öffentliches Recht des Bundes stützt und die Begründung, Änderung oder Aufhebung von Rechten oder Pflichten (lit. a), die Feststellung des Bestehens, Nichtbestehens oder des Umfanges von Rechten oder Pflichten (lit. b) oder die Abweisung von Begehren auf Begründung, Änderung, Aufhebung oder Feststellung von Rechten oder Pflichten, oder Nichteintreten auf solche Begehren (lit. c) zum Gegenstand hat. Als Verfügung zu qualifizieren ist eine hoheitliche, individuell-konkrete, auf Rechtswirkungen ausgerichtete und verbindliche Anordnung einer Behörde, die sich auf öffentliches Recht des Bundes stützt, oder eine autoritative und individuell-konkrete Feststellung bestehender Rechte oder Pflichten (Art. 5 Abs. 1 VwVG; vgl. auch Häfelin/Müller/Uhlmann, Allgemeines Verwaltungsrecht, 7. Aufl. 2016, Rz. 855 ff.; Tschannen/Zimmerli/Müller, Allgemeines Verwaltungsrecht, 4. Aufl. 2014, § 28 Rz. 17). Verfügungen sind den Parteien schriftlich zu eröffnen (Art. 34 Abs. 1 VwVG). Sie sind, auch wenn sie in Briefform ergehen, als solche zu bezeichnen, zu begründen und mit einer Rechtsmittelbelehrung zu versehen (Art. 35 Abs. 1 VwVG). 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(BVGE 2009/43 E. 1.1.4 ff.; Urteil des BVGer A-1672/2016 vom 25. Oktober 2016 E. 1.2.1; Tschannen/Zimmerli/Müller, a.a.O., § 29 Rz. 3). Eine Verfügung muss zwingend auf die Erzeugung von Rechtswirkungen gerichtet sein. Damit eine Verfügung vorliegt, ist entscheidend, dass das Handlungsziel der Behörden die Regelung, d.h. die bewusste, ausdrückliche und verbindliche Gestaltung der Rechtsstellung des Betroffenen sein muss (vgl. Urteile des BVGer A-2235/2017 vom 11. Juli 2017 E. 1.2 und A-3433/2013 vom 29. Oktober 2014 E. 2.6.3; Felix Uhlmann, in: Waldmann/Weissenberger [Hrsg.], Praxiskommentar Verwaltungsverfahrensgesetz, 2. Aufl. 2016, Art. 5 Rz. 17 ff. und 94). Bei der Frage der Anfechtbarkeit von Akten ist auch dem Rechtsschutzbedürfnis Rechnung zu tragen (vgl. BGE 138 I 6 E. 1.2; Urteile des BVGer A-4699/2015 vom 11. April 2016 E. 4.1 und A-1725/2015 vom 8. Juni 2015 E. 2.1, je mit Hinweisen).</w:t>
      </w:r>
    </w:p>
    <w:p>
      <w:r>
        <w:rPr>
          <w:b/>
        </w:rPr>
        <w:t>E. 1.3.2</w:t>
      </w:r>
    </w:p>
    <w:p>
      <w:r>
        <w:t>Anfechtungsobjekt im vorliegenden Verfahren ist einerseits die Verfügung der Vorinstanz vom [...], mit welcher die Vorinstanz auf das Begehren der Beschwerdeführerin auf Erlass einer Verfügung nicht eingetreten ist, andererseits hat die Beschwerdeführerin das Schreiben vom [...] angefochten.</w:t>
      </w:r>
    </w:p>
    <w:p>
      <w:r>
        <w:rPr>
          <w:b/>
        </w:rPr>
        <w:t>E. 1.3.2.1</w:t>
      </w:r>
    </w:p>
    <w:p>
      <w:r>
        <w:t>Vorliegend ist das BAG auf das Gesuch der Beschwerdeführerin mit Verfügung vom [...] nicht eingetreten. Damit traf die Vorinstanz als Behörde eine einseitige Anordnung im Einzelfall, die sich auf öffentliches Recht des Bundes stützt. Die Regelung eines Rechtsverhältnisses ist darin zu sehen, dass die Vorinstanz durch die Darstellung ihrer Rechtsauffassung der Beschwerdeführerin die Wahrung ihres Rechts auf Erlass einer Verfügung im konkreten Einzelfall absprach bzw. das schützenswerte Interesse der Beschwerdeführerin an einer solchen Verfügung verneinte. Damit sind die Strukturmerkmale des Verfügungsbegriffs erfüllt. Der Beschwerdeführer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Wird ein Nichteintretensentscheid angefochten, prüft das Bundesverwaltungsgericht nur die Rechtsfrage, ob die Vorinstanz auf die bei ihr erhobene Einsprache bzw. Beschwerde oder ein Wiedererwägungsgesuch zu Recht nicht eingetreten ist (vgl. André Moser/Michael Beusch/Lorenz Kneubühler, Prozessieren vor dem Bundesverwaltungsgericht, Basel 2013, S. 29 f. Rz. 2.7 f. und BGE 125 V 413 E. 2a). Vorliegend ist eine Nichteintretensverfügung zu beurteilen, weshalb lediglich zu prüfen ist, ob die Vorinstanz zu Recht auf das Begehren der Beschwerdeführerin nicht eingetreten ist. Soweit die Beschwerdeführerin beantragt, das HTA sei einzustellen respektive es seien ihr Parteirechte einzuräumen, gehen die Anträge über das in der Nichteintretensverfügung geregelte Rechtsverhältnis hinaus, weshalb diese nicht Streitgegenstand sein können und im vorliegenden Beschwerdeverfahren darauf nicht einzutreten ist.</w:t>
      </w:r>
    </w:p>
    <w:p>
      <w:r>
        <w:rPr>
          <w:b/>
        </w:rPr>
        <w:t>E. 1.3.2.2</w:t>
      </w:r>
    </w:p>
    <w:p>
      <w:r>
        <w:t>Andererseits hat die Beschwerdeführerin - wie erwähnt - das Schreiben der Vorinstanz vom [...] angefochten. Mit diesem Schreiben hat die Vorinstanz die Anfrage der Beschwerdeführerin, ihr die Unterlagen über die Beauftragung des HTA-Instituts mit der Ausarbeitung des Scoping-Berichts zukommen zu lassen, beantwortet. Die Vorinstanz verwies dabei im Wesentlichen auf das hängige Beschwerdeverfahren und ihre in diesem Zusammenhang geäusserten Ansichten. Das angefochtene Schreiben der Vorinstanz war nicht als Verfügung bezeichnet und enthielt weder Dispositiv noch Rechtsmittelbelehrung. Aufgrund der von der Vorinstanz gewählten Formulierung «Das BAG verweist grundsätzlich auf das hängige Beschwerdeverfahren vor Bundesverwaltungsgericht C-2161/2017» ist davon auszugehen, dass die Vorinstanz nicht die Absicht hatte, eine Verfügung zu erlassen. Sie verwies auf das hängige Verfahren und die darin gemachten Äusserungen. Sie ordnete nichts an und ihr Handeln war nicht auf die Erzeugung von Rechtswirkungen gerichtet. Aufgrund des hängigen Beschwerdeverfahrens C-2161/2017 und den in Bezug auf den Streitgegenstand eingetreten Devolutiveffekt (vgl. Art. 54 VwVG) liegt die Verfügungsmacht über den Streitgegenstand nicht mehr beim BAG, sondern ist auf das Bundesverwaltungsgericht übergegangen. Dies dürfte der Vorinstanz bekannt gewesen sein, so dass es auch unter diesem Gesichtspunkt naheliegend ist, dass die Vorinstanz mit ihrem Schreiben keine Absicht hatte, eine Verfügung zu erlassen. Aus den vorgenannten Gründen ist das Schreiben der Vorinstanz vom [...] nicht als Verfügung zu qualifizieren und demzufolge kann es nicht angefochten werden. Insoweit die Beschwerdeführerin dieses Schreiben anficht, ist somit auf die Beschwerde vom [...] nicht einzutreten; allerdings ist sie als Gesuch um Wiedererwägung der Verfügung des Instruktionsrichters vom [...] entgegen zu nehmen (vgl. E. 4 nachfolgend).</w:t>
      </w:r>
    </w:p>
    <w:p>
      <w:r>
        <w:rPr>
          <w:b/>
        </w:rPr>
        <w:t>E. 1.4</w:t>
      </w:r>
    </w:p>
    <w:p>
      <w:r>
        <w:t>Nach Art. 37 VGG richtet sich das Verfahren vor dem Bundesverwaltungsgericht nach dem VwVG, soweit das VGG nichts anderes bestimmt. Die Bestimmungen des ATSG sind vorliegend nicht anwendbar (vgl. Art. 1 Abs. 1 und 2 lit. b KVG; SR 832.10).</w:t>
      </w:r>
    </w:p>
    <w:p>
      <w:r>
        <w:rPr>
          <w:b/>
        </w:rPr>
        <w:t>E. 1.5</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beziehungsweise Abänderung ein schutzwürdiges Interesse. Nachdem der Verfahrenskostenvorschuss rechtzeitig geleistet worden ist, ist auf die frist- und formgerecht eingereichte Beschwerde vom [...] grundsätzlich (vgl. aber E. 1.2.2 hiervor) einzutreten (vgl. Art. 50 Abs. 1, Art. 52 und Art. 63 Abs. 4 VwVG).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BGer 8C_676/2010 vom 11. Februar 2011; Benjamin Schindler, in: Auer/Müller/Schindler (Hrsg.), Kommentar zum Bundesgesetz über das Verwaltungsverfahren (VwVG), Zürich 2008, Rz. 26 zu Art. 49).</w:t>
      </w:r>
    </w:p>
    <w:p>
      <w:r>
        <w:rPr>
          <w:b/>
        </w:rPr>
        <w:t>E. 2.2</w:t>
      </w:r>
    </w:p>
    <w:p>
      <w:r>
        <w:t>In zeitlicher Hinsicht sind grundsätzlich diejenigen materiell-rechtlichen Rechtssätze massgebend, die bei der Erfüllung des zu Rechtsfolgen führenden Sachverhalts Geltung haben (BGE 130 V 329 E. 2.3, BGE 134 V 315 E. 1.2). Massgebend sind vorliegend die im Zeitpunkt der Verfügung, also am [...], geltenden materiellen Bestimmungen.</w:t>
      </w:r>
    </w:p>
    <w:p>
      <w:r>
        <w:rPr>
          <w:b/>
        </w:rPr>
        <w:t>E. 3.1</w:t>
      </w:r>
    </w:p>
    <w:p>
      <w:r>
        <w:t>Vorliegend ist strittig und nachfolgend zu prüfen, ob die Vorinstanz zu Recht auf das Begehren der Beschwerdeführerin betreffend Einstellung des HTA, eventualiter Einräumung von Parteirechten und Akteneinsicht im HTA, nicht eingetreten ist.</w:t>
      </w:r>
    </w:p>
    <w:p>
      <w:r>
        <w:rPr>
          <w:b/>
        </w:rPr>
        <w:t>E. 3.1.1</w:t>
      </w:r>
    </w:p>
    <w:p>
      <w:r>
        <w:t>Die Beschwerdeführerin machte im Wesentlichen geltend, die Vorinstanz führe ein HTA durch, welches den Zweck habe, zu überprüfen, ob das Arzneimittel der Beschwerdeführerin und [...] wirksam, zweckmässig und wirtschaftlich seien. Es werde somit untersucht, ob die [...] weiterhin die Aufnahmebedingungen der SL erfüllen beziehungsweise ob sie mittels Verfügung der Vorinstanz von der SL gestrichen werden sollen. Für ein solches HTA mit massgebendem Einbezug verwaltungsexterner Stellen gebe es keine genügende gesetzliche Grundlage. Sollte eine gesetzliche Grundlage vorhanden sein, handle es sich beim HTA sodann klarerweise um ein Verwaltungsverfahren im Sinne des VwVG, weshalb die Beschwerdeführerin als betroffene Zulassungsinhaberin Parteistellung und damit auch die entsprechenden Parteirechte habe. Die Vorinstanz habe sich indes geweigert, einen materiellen Entscheid darüber zu treffen, obschon die Beschwerdeführerin vom HTA besonders berührt sei und an einem raschen Entscheid über ihre Anträge ein evidentes aktuelles und praktisches Interesse habe.</w:t>
      </w:r>
    </w:p>
    <w:p>
      <w:r>
        <w:rPr>
          <w:b/>
        </w:rPr>
        <w:t>E. 3.1.2</w:t>
      </w:r>
    </w:p>
    <w:p>
      <w:r>
        <w:t>Die Vorinstanz führte aus, sie beabsichtige einen HTA-Bericht erstellen zu lassen, der die Evidenz [...] aufbereite und Nutzen, Schaden sowie Kosten im Vergleich zu anderen Therapieformen darlege und auch Aspekte des unangemessenen Einsatzes in der Schweiz beleuchte. Dieser HTA-Bericht solle lediglich Aussagen bezogen auf die WZW-Kriterien und nicht betreffend Vergütung zu Lasten der OKP machen. Erst im Rahmen der Bewertung der Ergebnisse des HTA-Berichts und in Ergänzung mit normativen Beurteilungselementen im anschliessenden Prozess-Schritt des Appraisals durch die Mitglieder der eidgenössischen beratenden Kommissionen erfolge eine WZW-Beurteilung der Leistung und eine Empfehlung bezüglich der Leistungspflicht. Der HTA-Bericht berühre folglich keine Rechte und Pflichten von Dritten. Im jetzigen Zeitpunkt werde somit gar noch nicht geprüft, ob gegenüber der Beschwerdeführerin eine Verfügung zu erlassen sei, und es werde weder gestaltend noch rechtsverbindlich in die Rechte und Pflichten der Beschwerdeführerin eingegriffen. Je nach Ergebnis des HTA-Berichts sei im Anschluss daran in Bezug auf die betroffenen Arzneimittel eine Zwischenüberprüfung der Aufnahmebedingungen nach Art. 66a KVV einzuleiten. In diesem Verfahren seien der Beschwerdeführerin die Parteirechte dann zu gewähren.</w:t>
      </w:r>
    </w:p>
    <w:p>
      <w:r>
        <w:rPr>
          <w:b/>
        </w:rPr>
        <w:t>E. 3.2.1</w:t>
      </w:r>
    </w:p>
    <w:p>
      <w:r>
        <w:t>Die Leistungen nach den Artikeln 25-31 müssen wirksam, zweckmässig und wirtschaftlich sein. Die Wirksamkeit muss nach wissenschaftlichen Methoden nachgewiesen sein (Art. 32 Abs. 1 KVG). Die Wirksamkeit, die Zweckmässigkeit und die Wirtschaftlichkeit der Leistungen werden periodisch überprüft (Art. 32 Abs. 2 KVG). Das BAG überprüft sämtliche Arzneimittel, die in der Spezialitätenliste aufgeführt sind, alle drei Jahre daraufhin, ob sie die Aufnahmebedingungen noch erfüllen (Art. 65d Abs. 1 erster Satz KVV). Das BAG kann nach der Aufnahme eines Arzneimittels in die Spezialitätenliste jederzeit prüfen, ob die Aufnahmebedingungen noch erfüllt sind (Art. 66a KVV).</w:t>
      </w:r>
    </w:p>
    <w:p>
      <w:r>
        <w:rPr>
          <w:b/>
        </w:rPr>
        <w:t>E. 3.2.2</w:t>
      </w:r>
    </w:p>
    <w:p>
      <w:r>
        <w:t>HTA ist ein Instrument zur Beurteilung medizinischer Technologien. Die vordefinierten Fragestellungen werden mithilfe eines interdisziplinären Methodenansatzes untersucht. Dabei wird der aktuelle Stand der Wissenschaften berücksichtigt. Der vordefinierte Evaluationsprozess ist objektiv, transparent und unabhängig. Die gewonnenen Erkenntnisse und die daraus abgeleiteten Empfehlungen können als Entscheidungsgrundlage dienen (Daniel Widrig, Health Technology Assessment, Diss., Zürich 2015, S. 52). Zu den medizinischen Technologien, die mittels HTA bewertet werden können, gehören nicht nur Arzneimittel oder medizinische Geräte, sondern auch die ärztliche Behandlung an sich, Diagnosen, Analysen, präventive Massnahmen, klinisch-organisatorische Abläufe oder chirurgische Verfahren (vgl. Daniel Widrig, a.a.O., S. 42). Gemäss Angaben des BAG beinhaltet ein HTA-Programm die folgenden Schritte (vgl. Prozess zur Re-Evaluation bestehender Leistungen der OKP &lt; https://www.bag.admin.ch/bag/de/home/versicherungen/krankenversicherung/krankenversicherung-bezeichnung-der-leistungen/re-evaluation-hta.html &gt;, abgerufen am 04.04.2019): 1.Themenfindung: Themeneingabe durch interessierte Kreise oder BAG (Plausibilisierung BAG), Konsultation Stakeholder zur Priorisierung, Priorisierung und Empfehlung durch Eidgenössische Kommissionen, Beschluss HTA-Programm durch EDI 2.Scoping: Pre-Scoping: Voranalyse und Eingrenzung der Fragestellung (BAG), Ausschreibung und Auftragsvergabe (BAG), Scoping: Konkretisierung der Fragestellung und Erarbeitung der Methodik (Auftragnehmende), Stakeholder und Reviewer Konsultation zum Scopingbericht 3.Assessment: Ausarbeitung des HTA-Berichts durch Auftragnehmende, Stakeholder und Reviewer Konsultation zum Berichtsentwurf, Veröffentlichung Schlussbericht 4.Appraisal/Decision: Empfehlung der Eidgenössischen Kommissionen, Beschlüsse EDI/BAG, Veröffentlichung Beschluss. Ein HTA ist das Kernstück eines Entscheidfindungsprozesses. Es wird in der Regel mit dem Ziel in Auftrag gegeben, für eine medizinische Fragestellung eine Entscheidungsgrundlage zu erarbeiten (Daniel Widrig, a.a.O., S. 147 ff.).</w:t>
      </w:r>
    </w:p>
    <w:p>
      <w:r>
        <w:rPr>
          <w:b/>
        </w:rPr>
        <w:t>E. 3.3.1</w:t>
      </w:r>
    </w:p>
    <w:p>
      <w:r>
        <w:t>Die in der Sache zuständige Behörde kann über den Bestand, den Nichtbestand oder den Umfang öffentlichrechtlicher Rechte oder Pflichten von Amtes wegen oder auf Begehren eine Feststellungsverfügung treffen (Art. 25 Abs. 1 VwVG). Dem Begehren um eine Feststellungsverfügung ist zu entsprechen, wenn der Gesuchsteller ein schutzwürdiges Interesse nachweist (Art. 25 Abs. 2 VwVG). Ein Anspruch auf Erlass einer Feststellungsverfügung ist nach Lehre und Rechtsprechung anzuerkennen, wenn der Gesuchsteller ein rechtlichesoder tatsächliches sowie ein aktuelles Interesse an der sofortigen Feststellung des Bestehens oder Nichtbestehens eines Rechtsverhältnisses nachweist und keine erheblichen öffentlichen oder privaten Interessen entgegenstehen. Ferner ist nötig, dass ein entsprechendes schutzwürdiges Feststellungsinteresse vorliegt, welches nicht bloss abstrakte, theoretische Rechtsfragen, sondern nur konkrete Rechte oder Pflichten zum Gegenstand hat (vgl. BGE 137 II 199 E. 6.5, 131 II 13 E. 2.2 sowie 130 V 388 E. 2.4 und 2.5 mit Hinweisen). Der Anspruch auf eine Feststellungsverfügung setzt aber kein rechtlich geschütztes Interesse voraus; rein tatsächliche, wirtschaftliche oder ideelle Interessen genügen. Es reicht, wenn das private Interesse schützenswert erscheint (vgl. Beatrice Weber-Dürler/Pandora Kunz-Notter, in: Auer/Müller/Schindler (Hrsg.), Kommentar zum Bundesgesetz über das Verwaltungsverfahren, 2. Auflage, 2018, N. 11 zu Art. 25 VwVG mit Hinweisen). Das von Art. 25 Abs. 2 VwVG geforderte schutzwürdige Interesse besteht dann, wenn die gesuchstellende Person ohne die verbindliche und sofortige Feststellung des Bestandes, Nichtbestandes oder Umfangs öffentlichrechtlicher Rechte und Pflichten Gefahr liefe, dass sie oder die Behörde ihr nachteilige Massnahmen treffen oder ihr günstige unterlassen würde (vgl. Beatrice Weber-Dürler/Pandora Kunz-Notter, a.a.O., N. 11 zu Art. 25 VwVG, je mit Hinweisen; Urteil des BVGer B-3154/2007 vom 23. Juni 2007 E. 2). Dies ist insbesondere der Fall, wenn die gesuchstellende Person ohne Feststellungsverfügung gezwungen wäre, erhebliche, sich später eventuell als nutzlos erweisende Aufwendungen - beispielsweise in Form grosser administrativer Umtriebe - zu erbringen (Beatrice Weber-Dürler/Pandora Kunz-Notter, a.a.O., N. 13 zu Art. 25 VwVG). Ein schützenswertes Interesse besteht somit darin, dank der vorzeitigen Rechtsklärung das Risiko nachteiliger Dispositionen zu vermeiden (vgl. Beatrice Weber-Dürler/Pandora Kunz-Notter, a.a.O., N. 11 zu Art. 25 VwVG mit Hinweisen). Die gesuchstellende Person muss dartun, dass das Risiko nachteiliger Dispositionen besteht und ein allfälliges künftiges Verhalten, dessen Rechtsfolgen zu klären sind, wahrscheinlich ist (Beatrice Weber-Dürler/Pandora Kunz-Notter, a.a.O., N. 20 zu Art. 25 VwVG). Das Feststellungsinteresse ist nur zurückhaltend zu bejahen, wenn die gesuchstellende Person bloss nach der optimalen Gestaltung ihrer Verhältnisse sucht. Denn sonst bestünde die Gefahr, dass die verfügenden Behörden und die Rechtsmittelinstanzen durch Feststellungsbegehren zu allen theoretisch möglichen Vorgehensvarianten belastet würden (Beatrice Weber-Dürler/Pandora Kunz-Notter, a.a.O., N. 18 zu Art. 25 VwVG mit Hinweisen). Fehlt das Feststellungsinteresse, ist auf ein Feststellungsbegehren nicht einzutreten (vgl. BGE 129 V 289 E. 2.1 und 2.3, 129 III 503 E. 3.6 und 108 Ib 540 E. 3; Pierre Tschannen/Ulrich Zimmerli/Markus Müller, Allgemeines Verwaltungsrecht, Bern, 4. Auflage 2014, § 28 Rz. 64).</w:t>
      </w:r>
    </w:p>
    <w:p>
      <w:r>
        <w:rPr>
          <w:b/>
        </w:rPr>
        <w:t>E. 3.3.2</w:t>
      </w:r>
    </w:p>
    <w:p>
      <w:r>
        <w:t>Wer ein schutzwürdiges Interesse hat, kann gemäss Art. 25a Abs. 1 VwVG von der Behörde, die für Handlungen zuständig ist, welche sich auf öffentliches Recht des Bundes stützen und Rechte oder Pflichten berühren, verlangen, dass sie: widerrechtliche Handlungen unterlässt, einstellt oder widerruft (lit. a); die Folgen widerrechtlicher Handlungen beseitigt (lit. b); die Widerrechtlichkeit von Handlungen feststellt (lit. c). Wie Art. 25 VwVG verlangt auch Art. 25a VwVG ein schutzwürdiges Interesse der gesuchstellenden Person und reiht sich damit in die allgemeinen Anforderungen für die Verfahrensbeteiligung ein (Isabelle Häner, in: Waldmann/Weissenberger [Hrsg.], Praxiskommentar Verwaltungsverfahrensgesetz, 2. Auflage, Art. 25 N 17 und Art. 25a N 34). Das Rechtsschutzinteresse ist insbesondere gegeben, wenn mit dem Begehren ein aktueller und praktischer Nutzen verfolgt wird und durch den Erlass einer Verfügung ein Nachteil abgewendet werden kann. Eine Behörde hat das Gesuch um Erlass einer Verfügung über einen Realakt nur dann an die Hand zu nehmen, wenn die in Art. 25a VwVG genannten Voraussetzungen kumulativ erfüllt sind. Dazu gehören nebst dem schutzwürdigen Interesse namentlich auch das Berühren von Rechten und Pflichten (vgl. Markus Müller, Rechtsschutz gegen Verwaltungsrealakte, in: Neue Bundesrechtspflege - Auswirkungen der Totalrevision auf den kantonalen und eidgenössischen Rechtsschutz [Berner Tage für die juristische Praxis, BTJP, 2006] S. 345). Grundsätzlich sind die beiden Eintretensvoraussetzungen auseinander zu halten: Das schutzwürdige Interesse ist eine personenbezogene, das Berühren in Rechten oder Pflichten eine aktbezogene Eintretensvoraussetzung. Dennoch bedingen sie sich wechselseitig: Indem als Verfahrensgegenstand nur Akte in Frage kommen, die subjektive Rechte und Pflichten des Gesuchstellers berühren, dürfte die Schutzwürdigkeit meist rechtlich (mit)begründet sein. Konkret: Ein schutzwürdiges Interesse am Erlass einer Gestaltungs- oder Feststellungsverfügung wird stets ein beträchtliches rechtliches Berührungspotential aufweisen (vgl. Markus Müller, a.a.O., S. 355). Liegt eine der Voraussetzungen gemäss Art. 25a VwVG indes nicht vor, ist auf ein Gesuch nicht einzutreten. Das Bundesgericht hat den Anspruch auf Erlass einer Feststellungsverfügung bei einem vorhandenen schutzwürdigen Interesse gemäss Art. 25 Abs. 2 VwVG auch auf die Gestaltungs- und Leistungsverfügung erstreckt. Das Bundesgericht begründet dies in BGE 98 Ib 53 E. 3 mit systematischen Überlegungen (vgl. Andreas Kley, Die Feststellungsverfügung - eine ganz gewöhnliche Verfügung?, in: Der Verfassungsstaat vor neuen Herausforderungen, Festschrift für Yvo Hangartner, Bernhard Ehrenzeller et al. [Hrsg.], St. Gallen/Lachen, 1998, S. 229 ff., hier: S. 242 f.).</w:t>
      </w:r>
    </w:p>
    <w:p>
      <w:r>
        <w:rPr>
          <w:b/>
        </w:rPr>
        <w:t>E. 3.4</w:t>
      </w:r>
    </w:p>
    <w:p>
      <w:r>
        <w:t>Die strittige Handlung der Vorinstanz bestand darin, dass sie ein HTA zum Thema "[...]" eingeleitet und der Beschwerdeführerin in diesem Verfahren die Parteirechte abgesprochen hat. Ziel eines HTA ist es, auf einer wissenschaftlichen, unabhängigen und patientenorientierten Basis Informationen für gesundheitspolitische Entscheide aufzubereiten. Ein HTA-Bericht soll auf dem aktuellsten Stand der Wissenschaft sein und Vor- und Nachteile einer medizinischen Technologie umfassend darstellen (vgl. Daniel Widrig, a.a.O., S. 64). Wie die Vorinstanz zutreffend ausgeführt hat, hat die Einleitung und Durchführung dieses Verfahrens keinen direkten Einfluss auf die Beschwerdeführerin. Der HTA-Bericht kann in einem allfälligen späteren Verfahren betreffend Limitation oder Streichung von der SL als Entscheidgrundlage dienen. In ein solches Verfahren würde die Beschwerdeführerin indes zwingend involviert und hätte somit die Möglichkeit sich (unter anderem) auch zum entsprechenden HTA-Bericht zu äussern. Es ist allerdings noch nicht sicher, ob der HTA-Bericht überhaupt zu einer Verfügung führt, da der HTA-Bericht namentlich zum Schluss kommen könnte, dass keine ausreichende Evidenz vorliegt, die eine Limitation oder Streichung rechtfertigen würde. Ausserdem ist festzuhalten, dass die Beschwerdeführerin im Rahmen des strittigen HTA durchaus die Möglichkeit gehabt hätte, sich einzubringen, da sowohl der Verband Vereinigung Pharmafirmen in der Schweiz (vips), stellvertretend für seine Mitglieder, als auch die Beschwerdeführerin selbst die Gelegenheit zur Stellungnahme erhalten haben (vgl. B-Beilagen 9 und 13 sowie BVGer-act. 29 Beilagen 1, 4 und 5). Durch die Einleitung und Durchführung eines HTA hat die Vorinstanz - entgegen der Ansicht der Beschwerdeführerin - keine Rechte und Pflichten der Beschwerdeführerin begründet oder sonst irgendwie in deren Rechtsstellung eingegriffen. Die Beschwerdeführerin hat denn auch nicht dargetan, inwiefern durch die Einleitung eines HTA bereits in ihre Rechtsstellung eingegriffen worden sein soll, oder dass ihre subjektiven Rechte und Pflichten im Sinne von Art. 25a VwVG berührt sein sollen. Solange die Beschwerdeführerin lediglich befürchtet, durch das HTA Nachteile zu erleiden, oder dass das HTA allenfalls unter Einräumung entsprechender Parteirechte zu wiederholen wäre, ist das Berührtsein zu verneinen. Erst eine allfällige Verfügung betreffend Limitation oder Streichung von der SL hätte einen Eingriff in die Rechtsstellung der Beschwerdeführerin zur Folge. Eine solche Verfügung könnte angefochten werden, womit gewährleistet ist, dass sich die Beschwerdeführerin in der Sache zu gegebener Zeit noch äussern kann. Es ist anerkannt, dass Privatpersonen mit Feststellungsbegehren bezüglich vorgängiger Klärung einer Grundsatzfrage (nur) das Ziel verfolgen können, ihren eigenen Prozessaufwand gering zu halten (vgl. Beatrice Weber-Dürler/Pandora Kunz-Notter, a.a.O., N. 15 zu Art. 25 VwVG). Die Beschwerdeführerin legt indes nicht dar, inwiefern ihr Prozessaufwand gering(er) gehalten werden könnte, wenn sie in das HTA eingebunden würde.</w:t>
      </w:r>
    </w:p>
    <w:p>
      <w:r>
        <w:rPr>
          <w:b/>
        </w:rPr>
        <w:t>E. 3.5</w:t>
      </w:r>
    </w:p>
    <w:p>
      <w:r>
        <w:t>Aus den vorstehenden Ausführungen geht hervor, dass die Rechte und Pflichten der Beschwerdeführerin durch das vorinstanzlich eingeleitete HTA nicht berührt werden. Die Beschwerdeführerin vermochte nicht darzulegen, inwiefern sie ein schützenswertes Interesse an einer Beteiligung im HTA hat. Die Vorinstanz ist somit zu Recht auf die Anträge der Beschwerdeführerin nicht eingetreten. Die angefochtene Verfügung ist somit zu bestätigen und die Beschwerde abzuweisen, soweit darauf einzutreten ist.</w:t>
      </w:r>
    </w:p>
    <w:p>
      <w:r>
        <w:rPr>
          <w:b/>
        </w:rPr>
        <w:t>E. 4</w:t>
      </w:r>
    </w:p>
    <w:p>
      <w:r>
        <w:t>Das Gesuch der Beschwerdeführerin um Wiedererwägung vom [...] (vgl. dazu E. 1.3.2.2) wird mit dem Ergehen des Urteils in der Hauptsache obsolet und deshalb ist nicht weiter darauf einzugehen.</w:t>
      </w:r>
    </w:p>
    <w:p>
      <w:r>
        <w:rPr>
          <w:b/>
        </w:rPr>
        <w:t>E. 5.1</w:t>
      </w:r>
    </w:p>
    <w:p>
      <w:r>
        <w:t>Die Verfahrenskosten werden in der Regel der unterliegenden Partei auferlegt (Art. 63 Abs. 1 vwVG). Entsprechend dem Ausgang des Verfahrens sind der Beschwerdeführerin die Verfahrenskosten, welche auf Fr. 5'000.- festzulegen sind, aufzuerlegen. Die Verfahrenskosten von Fr. 5'000.- sind dem Kostenvorschuss (Fr. 7'500.-) zu entnehmen und der Restbetrag von Fr. 2'500.- ist der Beschwerdeführerin nach Eintritt der Rechtskraft des vorliegenden Entscheids auf ein von ihr bekannt zu gebendes Konto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Keinen Anspruch auf Parteienschädigung haben Bundesbehörden und, in der Regel, andere Behörden, die als Parteien auftreten (Art. 7 Abs. 3 VGKE). Der obsiegenden Vorinstanz ist demzufolge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