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C-2152/2022 vom 3. Juni 2022</w:t>
      </w:r>
    </w:p>
    <w:p>
      <w:r>
        <w:t>Bundesverwaltungsgericht, 2022-06-03, DE</w:t>
      </w:r>
    </w:p>
    <w:p>
      <w:r>
        <w:rPr>
          <w:b/>
        </w:rPr>
        <w:t xml:space="preserve">Quelle: </w:t>
      </w:r>
      <w:r>
        <w:t>https://mcp.opencaselaw.ch/entscheid/bvger_C-2152_2022</w:t>
      </w:r>
    </w:p>
    <w:p>
      <w:r>
        <w:t>FR: TAF C-2152/2022 du 3 juin 2022</w:t>
      </w:r>
    </w:p>
    <w:p>
      <w:r>
        <w:t>IT: TAF C-2152/2022 del 3 giugno 2022</w:t>
      </w:r>
    </w:p>
    <w:p>
      <w:pPr>
        <w:pStyle w:val="Heading2"/>
      </w:pPr>
      <w:r>
        <w:t>Regeste</w:t>
      </w:r>
    </w:p>
    <w:p>
      <w:r>
        <w:t>Mindestbeitragsdauer</w:t>
      </w:r>
    </w:p>
    <w:p>
      <w:pPr>
        <w:pStyle w:val="Heading2"/>
      </w:pPr>
      <w:r>
        <w:t>Erwägungen</w:t>
      </w:r>
    </w:p>
    <w:p>
      <w:r>
        <w:rPr>
          <w:b/>
        </w:rPr>
        <w:t>E. 1</w:t>
      </w:r>
    </w:p>
    <w:p>
      <w:r>
        <w:t>Auf das Revisionsgesuch vom 7. März 2022 gegen das Urteil des Bundesverwaltungsgerichts C- 4780/2021 vom 21. Februar 2021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Gesuchsteller, die Vorinstanz und das BSV. Der Einzelrichter: Der Gerichtsschreiber: David Weiss Roland Hochreutener (Für das Urteilsdispositiv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