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C-2149/2009 vom 15. Juli 2009</w:t>
      </w:r>
    </w:p>
    <w:p>
      <w:r>
        <w:t>Bundesverwaltungsgericht, 2009-07-15, FR</w:t>
      </w:r>
    </w:p>
    <w:p>
      <w:r>
        <w:rPr>
          <w:b/>
        </w:rPr>
        <w:t xml:space="preserve">Quelle: </w:t>
      </w:r>
      <w:r>
        <w:t>https://mcp.opencaselaw.ch/entscheid/bvger_C-2149_2009</w:t>
      </w:r>
    </w:p>
    <w:p>
      <w:r>
        <w:t>FR: TAF C-2149/2009 du 15 juillet 2009</w:t>
      </w:r>
    </w:p>
    <w:p>
      <w:r>
        <w:t>IT: TAF C-2149/2009 del 15 luglio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C._______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des Philippines, A._______ est soumis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et sociales difficiles que connaît l'ensemble de la population des Philippines (pays dont le PIB par habitant était de 1'626 US$ en 2007 [source: site internet du Ministère français des affaires étrangères &gt; France-Diplomatie &gt; Pays-zones géo &gt; Philippines; mise à jour: 15 janvier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8.1</w:t>
      </w:r>
    </w:p>
    <w:p>
      <w:r>
        <w:t>En l'espèce, il ressort des indications du dossier que A._______, qui sera âgé de dix-huit ans au mois de septembre de cette année, est célibataire et sans charge de famille, de sorte qu'il serait parfaitement à même de se créer une nouvelle existence hors des Philippines sans que cela n'entraîne pour lui de difficultés sur le plan familial. De plus, il appert que l'intéressé n'occupe aucun emploi stable dans son pays et qu'il n'y suit aucune formation (cf. formulaire « Demande de visa pour la Suisse » signé le 16 septembre 2008, ch. 9 et 10, et informations communiquées à l'autorité cantonale compétente au mois de novembre 2008, ch. 9). Par ailleurs, même si toute la famille de l'intéressé, hormis sa mère, vit aux Philippines (cf. renseignements communiqués à l'Office cantonal de la population de Genève au mois de novembre 2008) et s'il convient d'admettre que de tels liens peuvent, dans une certaine mesure, inciter une personne, au terme du séjour envisagé en Suisse, à retourner dans le pays où elle réside, ils ne sauraient, dans le contexte socio-économique dans lequel se trouvent les Philippines, suffire toutefois, à eux seuls, à garantir le retour de l'intéressé dans cet Etat. Certes, les recourants assurent dans leur pourvoi que A._______ n'a aucunement l'intention de demeurer en Suisse à l'issue du séjour projeté. Il sied néanmoins d'admettre, au vu de l'expérience générale, qu'un tel élément est parfois insuffisant pour inciter une personne à retourner dans son pays et, souvent, ne l'emporte pas sur la perspective d'une situation plus favorable en Suisse. En effet, compte tenu du niveau de vie sensiblement plus élevé que présente la Suisse, les autorités helvétiques ne peuvent totalement exclure que l'intéressé ne s'efforce, une fois entré en ce pays et malgré les assurances contraires qui ont été données dans le cadre du recours, d'obtenir un titre de séjour dans l'espoir d'y trouver des conditions plus favorables pour y entreprendre une formation, voire même, fût-ce de manière temporaire, d'y exercer une activité lucrative lui procurant des conditions d'existence meilleures que celles rencontrées dans son pays d'origine. Il ne faut pas perdre de vue en effet que cette différence de niveau de vie peut s'avérer déterminante lorsqu'on prend la décision de quitter sa patrie. Cette hypothèse peut en l'espèce être d'autant moins écartée que l'intéressé semble disposer dans le canton de Genève d'un réseau social et familial bien établi (cf. consid. 7.4 in fine supra).</w:t>
      </w:r>
    </w:p>
    <w:p>
      <w:r>
        <w:rPr>
          <w:b/>
        </w:rPr>
        <w:t>E. 9</w:t>
      </w:r>
    </w:p>
    <w:p>
      <w:r>
        <w:t>Cela étant, le désir exprimé par A._______, au demeurant parfaitement compréhensible, de venir en Suisse pour y effectuer un séjour familial et touristique ne constitue pas à lui seul un motif justifiant l'octroi d'un visa, à propos duquel il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des Philippines) qui leur sont adressées, les autorités helvétiques doivent prendre en considération le risque résultant du fait que la personne bénéficiant d'un visa d'entrée ne quitte pas la Suisse et l'espace Schengen au terme de son séjour, au sens de l'art. 5 al. 2 LEtr. Dans ce contexte, lesdites autorités ont été amenées à adopter une politique d'admission restrictive (cf.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10</w:t>
      </w:r>
    </w:p>
    <w:p>
      <w:r>
        <w:t>Il sied encore de relever que le refus d'une autorisation d'entrée ne remet nullement en cause l'honnêteté des personnes qui, résidant régulièrement en Suisse, ont invité un tiers domicilié à l'étranger pour un séjour familial ou touristique et se sont engagées à garantir les frais y relatifs et le départ de leur invité. En l'espèce, le recourant se déclare disposé à verser « une garantie en argent » pour prouver sa bonne foi (cf. déterminations du 15 juin 2009). S'agissant de ce dernier point, même si la loi (art. 6 al. 3 LEtr) prévoit qu'une caution peut être exigée, il convient derechef de relever que l'évaluation des risques concernant le retour de l'invité dans son pays repose moins sur le dépôt d'une telle garantie par l'invitant que sur le comportement de l'intéressé lui-même une fois en Suisse. A cet égard, l'intention que peut manifester une personne de retourner dans sa patrie à l'issue de son séjour, voire son engagement formel à le faire, n'ont aucune force juridique (cf. arrêt du Tribunal de céans C-722/2008 du 13 juin 2008, consid. 7) et ne suffisent pas non plus à garantir que son départ interviendra dans les délais prévus.</w:t>
      </w:r>
    </w:p>
    <w:p>
      <w:r>
        <w:rPr>
          <w:b/>
        </w:rPr>
        <w:t>E. 11</w:t>
      </w:r>
    </w:p>
    <w:p>
      <w:r>
        <w:t>Par surabondance, il convient encore de noter qu'un refus d'autorisation d'entrée en Suisse prononcé par les autorités helvétiques n'a pas en l'occurrence pour conséquence d'empêcher A._______ de maintenir des relations familiales, les intéressés pouvant tout aussi bien se rencontrer hors de Suisse, notamment aux Philippines, comme ils ont eu l'occasion de le faire la dernière fois au mois de novembre 2008 (cf. renseignements communiqués à l'autorité cantonale compétente en novembre 2008), et ce nonobstant les inconvénients d'ordre pratique ou de convenance personnelle que cela pourrait engendrer.</w:t>
      </w:r>
    </w:p>
    <w:p>
      <w:r>
        <w:rPr>
          <w:b/>
        </w:rPr>
        <w:t>E. 12</w:t>
      </w:r>
    </w:p>
    <w:p>
      <w:r>
        <w:t>Au vu de l'ensemble des circonstances, le Tribunal estime qu'il ne saurait être reproché à l'ODM d'avoir considéré que le départ de A._______ à l'échéance du visa requis n'était pas suffisamment assuré et, partant, d'avoir refusé la délivrance d'une autorisation d'entrée en Suisse en sa faveur.</w:t>
      </w:r>
    </w:p>
    <w:p>
      <w:r>
        <w:rPr>
          <w:b/>
        </w:rPr>
        <w:t>E. 13</w:t>
      </w:r>
    </w:p>
    <w:p>
      <w:r>
        <w:t>Compte tenu des considérants exposés ci-dessus, il appert que, par sa décision du 3 février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