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C-2139/2010 vom 13. September 2010</w:t>
      </w:r>
    </w:p>
    <w:p>
      <w:r>
        <w:t>Bundesverwaltungsgericht, 2010-09-13, IT</w:t>
      </w:r>
    </w:p>
    <w:p>
      <w:r>
        <w:rPr>
          <w:b/>
        </w:rPr>
        <w:t xml:space="preserve">Quelle: </w:t>
      </w:r>
      <w:r>
        <w:t>https://mcp.opencaselaw.ch/entscheid/bvger_C-2139_2010</w:t>
      </w:r>
    </w:p>
    <w:p>
      <w:r>
        <w:t>FR: TAF C-2139/2010 du 13 septembre 2010</w:t>
      </w:r>
    </w:p>
    <w:p>
      <w:r>
        <w:t>IT: TAF C-2139/2010 del 13 settembre 2010</w:t>
      </w:r>
    </w:p>
    <w:p>
      <w:pPr>
        <w:pStyle w:val="Heading2"/>
      </w:pPr>
      <w:r>
        <w:t>Regeste</w:t>
      </w:r>
    </w:p>
    <w:p>
      <w:r>
        <w:t>Assicurazione per l'invalidità (AI)</w:t>
      </w:r>
    </w:p>
    <w:p>
      <w:pPr>
        <w:pStyle w:val="Heading2"/>
      </w:pPr>
      <w:r>
        <w:t>Erwägungen</w:t>
      </w:r>
    </w:p>
    <w:p>
      <w:r>
        <w:rPr>
          <w:b/>
        </w:rPr>
        <w:t>E. 1</w:t>
      </w:r>
    </w:p>
    <w:p>
      <w:r>
        <w:t>L'8 marzo 2010, l'Ufficio dell'assicurazione per l'invalidità per gli assicurati residenti all'estero (UAIE) ha respinto l'istanza di rinuncia alla rendita d'invalidità presentata dall'interessato il 10 novembre 2009.</w:t>
      </w:r>
    </w:p>
    <w:p>
      <w:r>
        <w:rPr>
          <w:b/>
        </w:rPr>
        <w:t>E. 2</w:t>
      </w:r>
    </w:p>
    <w:p>
      <w:r>
        <w:t>Il 29 marzo 2010, l'interessato ha interposto ricorso contro la menzionata decisione dell'UAIE dinanzi al Tribunale amministrativo federale (TAF) mediante il quale ha postulato il riconoscimento del suo diritto di rinuncia alla rendita d'invalidità.</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Il Tribunale amministrativo federale, con provvedimento del 30 luglio 2010 (notificato al ricorrente il 6 agosto 2010; cfr. risultanze processuali e in particolare l'avviso di ricevimento postale [doc. TAF 8]), ha trasmesso per conoscenza gli incarti di questo Tribunale e dell'autorità inferiore all'avv. B._______ (a cui il ricorrente aveva conferito mandato il 7 giugno 2010 unicamente per prendere visione degli atti di causa [doc. TAF 4]) ed ha invitato il ricorrente ad indicare, entro il 17 settembre 2010, se intendeva ritirare oppure mantenere il ricorso inoltrato il 29 marzo 2010 contro la decisione resa dall'UAIE l'8 marzo 2010.</w:t>
      </w:r>
    </w:p>
    <w:p>
      <w:r>
        <w:rPr>
          <w:b/>
        </w:rPr>
        <w:t>E. 5</w:t>
      </w:r>
    </w:p>
    <w:p>
      <w:r>
        <w:t>Con scritto inoltrato il 9 settembre 2010, l'insorgente ha comunicato a questo Tribunale di ritirare il ricorso interposto il 29 marzo 2010.</w:t>
      </w:r>
    </w:p>
    <w:p>
      <w:r>
        <w:rPr>
          <w:b/>
        </w:rPr>
        <w:t>E. 6</w:t>
      </w:r>
    </w:p>
    <w:p>
      <w:r>
        <w:t>Da quanto esposto, discende che il ricorso va stralciato dai ruoli, essendo venuto meno l'interesse degno di protezione del ricorrente all'annullamento o alla modificazione della decisione impugnata.</w:t>
      </w:r>
    </w:p>
    <w:p>
      <w:r>
        <w:rPr>
          <w:b/>
        </w:rPr>
        <w:t>E. 7</w:t>
      </w:r>
    </w:p>
    <w:p>
      <w:r>
        <w:t>Il giudice dell'istruzione decide quale giudice unico lo stralcio dal ruolo delle cause divenute prive d'oggetto (art. 23 cpv. 1 lett. a LTAF).</w:t>
      </w:r>
    </w:p>
    <w:p>
      <w:r>
        <w:rPr>
          <w:b/>
        </w:rPr>
        <w:t>E. 8</w:t>
      </w:r>
    </w:p>
    <w:p>
      <w:r>
        <w:t>Per eccezione, non si prelevano spese processuali (art. 63 cpv. 1 e cpv. 5 PA nonché art. 6 lett. a del regolamento sulle tasse e sulle spese ripetibili nelle cause dinanzi al Tribunale amministrativo federale del 21 febbraio 2008 [TS-TAF, RS 173.320.2]).</w:t>
      </w:r>
    </w:p>
    <w:p>
      <w:r>
        <w:rPr>
          <w:b/>
        </w:rPr>
        <w:t>E. 9</w:t>
      </w:r>
    </w:p>
    <w:p>
      <w:r>
        <w:t>Visto quanto precede, non si giustifica l'attribuzione di spese ripetibili (art. 15 TS-TAF in combinazione con l'art. 7 TS-TAF; DTF 109 V 234).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