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C-2137/2009 vom 2. Juli 2009</w:t>
      </w:r>
    </w:p>
    <w:p>
      <w:r>
        <w:t>Bundesverwaltungsgericht, 2009-07-02, DE</w:t>
      </w:r>
    </w:p>
    <w:p>
      <w:r>
        <w:rPr>
          <w:b/>
        </w:rPr>
        <w:t xml:space="preserve">Quelle: </w:t>
      </w:r>
      <w:r>
        <w:t>https://mcp.opencaselaw.ch/entscheid/bvger_C-2137_2009</w:t>
      </w:r>
    </w:p>
    <w:p>
      <w:r>
        <w:t>FR: TAF C-2137/2009 du 2 juillet 2009</w:t>
      </w:r>
    </w:p>
    <w:p>
      <w:r>
        <w:t>IT: TAF C-2137/2009 del 2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Bezüglich der Einreisevoraussetzungen für einen Aufenthalt von höchstens drei Monaten verweist Art. 2 Abs. 1 der Verordnung vom 22. Oktober 2008 über die Einreise und die Visumerteilung (VEV, SR 142.204)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4.2</w:t>
      </w:r>
    </w:p>
    <w:p>
      <w:r>
        <w:t>Die Einreisevoraussetzungen gemäss Schengener Grenzkodex entsprechen im Wesentlichen Art. 5 Abs. 1 Bst. a - d des Bundesgesetzes vom 16. Dezember 2005 über die Ausländerinnen und Ausländer (AuG, SR 142.20).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4.3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w:t>
      </w:r>
    </w:p>
    <w:p>
      <w:r>
        <w:rPr>
          <w:b/>
        </w:rPr>
        <w:t>E. 5</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Indien findet sich im Anhang I, so dass der Gesuchsteller der Visumspflicht unterliegt.</w:t>
      </w:r>
    </w:p>
    <w:p>
      <w:r>
        <w:rPr>
          <w:b/>
        </w:rPr>
        <w:t>E. 6.1</w:t>
      </w:r>
    </w:p>
    <w:p>
      <w:r>
        <w:t>Der Grund für den Aufenthalt des Gesuchstellers in der Schweiz ist eine bevorstehende, dringende Operation, der sich der Beschwerdeführer unterziehen muss. Die Beschwerdeführerin sei zu 100% erwerbstätig, deshalb werde für die Zeit des Spitalaufenthalts und der Rehabilitation des Beschwerdeführers eine Person zur Betreuung der Kinder benötigt. Diverse von den Beschwerdeführern eingereichte Bestätigungen des Spitals und von Ärzten sowie Kopien der Arbeitsverträge der Beschwerdeführerin belegen diese Situation.</w:t>
      </w:r>
    </w:p>
    <w:p>
      <w:r>
        <w:rPr>
          <w:b/>
        </w:rPr>
        <w:t>E. 6.2</w:t>
      </w:r>
    </w:p>
    <w:p>
      <w:r>
        <w:t>Gemäss Art. 11 AuG benötigen Ausländerinnen und Ausländer, die in der Schweiz eine Erwerbstätigkeit ausüben wollen, unabhängig von der Dauer des Aufenthalts eine Bewilligung (Abs. 1). Dabei gilt als Erwerbstätigkeit jede üblicherweise gegen Entgelt ausgeübte unselbständige oder selbständige Tätigkeit, selbst wenn sie unentgeltlich erfolgt (Abs. 2; vgl. auch Art. 1a der Verordnung vom 24. Oktober 2007 über Zulassung, Aufenthalt und Erwerbstätigkeit [VZAE, SR 142.201]). Die Bewilligung des Aufenthalts für eine Erwerbstätigkeit liegt in der Kompetenz der kantonalen Behörden (Art. 40 Abs. 1 AuG) und unterliegt strengen Voraussetzungen (Art. 18 ff. AuG).</w:t>
      </w:r>
    </w:p>
    <w:p>
      <w:r>
        <w:rPr>
          <w:b/>
        </w:rPr>
        <w:t>E. 6.3</w:t>
      </w:r>
    </w:p>
    <w:p>
      <w:r>
        <w:t>Es ist davon auszugehen, dass der vom Gesuchsteller und den Beschwerdeführern angegebene Aufenthaltszweck unter den Begriff Erwerbstätigkeit fällt, auch wenn es sich um eine Hilfeleistung innerhalb der Familie handelt, dies nicht zuletzt wegen der vorgesehene Dauer von drei Monaten (vgl. etwa die Urteile des Bundesverwaltungsgerichts C-2164/2008 vom 19. Mai 2009 E. 8.4 und C-6975/2008 vom 14. April 2009 E. 8.3 je mit Hinweisen). Im Rahmen des vorliegenden Verfahrens kann jedoch nur über die Erteilung eines Visums zum bewilligungsfreien Aufenthalt (Art. 10 Abs. 1 AuG) befunden werden, da nur in diesem Bereich die Auslandvertretungen in eigener Kompetenz handeln können (vgl. Art. 6 Abs. 1 AuG i.V.m. Art. 15 VEV) bzw. die Vorinstanz für den Erlass einer formellen Verfügung zuständig ist (Art. 6 Abs. 2 AuG). In dieser Hinsicht hat die Vorinstanz die Erteilung eines Visums zurecht verweigert.</w:t>
      </w:r>
    </w:p>
    <w:p>
      <w:r>
        <w:rPr>
          <w:b/>
        </w:rPr>
        <w:t>E. 7</w:t>
      </w:r>
    </w:p>
    <w:p>
      <w:r>
        <w:t>Selbst wenn es vorliegend um einen Verwandtenbesuch ohne bewilligungspflichtige Mithilfe bei der Kinderbetreuung und im Haushalt ginge, stünden der Erteilung eines Visums weitere Gründe entgegen.</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sind sämtliche Umstände des Einzelfalles zu würden.</w:t>
      </w:r>
    </w:p>
    <w:p>
      <w:r>
        <w:rPr>
          <w:b/>
        </w:rPr>
        <w:t>E. 7.2</w:t>
      </w:r>
    </w:p>
    <w:p>
      <w:r>
        <w:t>Anhaltspunkte zur Beurteilung der fristgerechten Wiederausreise können sich aus der allgemeinen Lage des Herkunfts- oder Heimatlandes der Gesuchstellerin oder des Gesuchstellers ergeben. Kommt die gesuchstellende Person aus einem Land oder einer Region mit politisch oder wirtschaftlich vergleichsweise ungünstigen Verhältnissen, so kann dies darauf hindeuten, dass die persönliche Interessenlage nicht mit dem Ziel und Zweck einer zeitlich befristeten Einreisebewilligung in Einklang steht.</w:t>
      </w:r>
    </w:p>
    <w:p>
      <w:r>
        <w:rPr>
          <w:b/>
        </w:rPr>
        <w:t>E. 7.2.1</w:t>
      </w:r>
    </w:p>
    <w:p>
      <w:r>
        <w:t>Die wirtschaftliche Situation Indiens wurde in den letzten Jahren bis zum Einsetzen der aktuellen Wirtschaftskrise durch ein kräftiges Wachstum von durchschnittlich knapp 9 % geprägt. Allerdings hat die Phase des hohen Wirtschaftswachstums die regionalen Entwicklungsunterschiede auf dem Subkontinent und vor allem das zunehmende Einkommensgefälle zwischen der expandierenden städtischen Mittelschicht und der überwiegend armen Bevölkerung auf dem Lande, wo noch knapp 70 % aller Inder leben, stärker hervortreten lassen. Knapp 30 % der indischen Bevölkerung hat ein Einkommen von weniger als 1 US-$ pro Tag zur Verfügung. Den grössten Anteil am Brutto-Inland-Produkt (BIP) hat der Dienstleistungssektor (55 %), aber nur etwa 25 % der Arbeitskräfte sind dort beschäftigt. Umgekehrt verhält es sich mit dem Agrarsektor (18 % des BIP), wobei aber etwa 50 % der Inderinnen und Inder direkt von diesem Sektor abhängig sind. Zudem ist der Anteil Analphabeten an der Gesamtbevölkerung hoch und nur etwa 5 % aller Inderinnen und Inder verfügen über eine formale Ausbildung (Quellen: Länder- und Reisehinweise auf der Webseite des deutschen Auswärtigen Amtes, www.auswaertiges-amt.de, Stand März 2009, Länderinformation auf der Webseite des Staatssekretariats für Wirtschaft [SECO], www.seco.admin.ch, Stand Februar 2009, beide Seiten besucht am 16. Juni 2009). So sind breite Bevölkerungsschichten nach wie vor von vergleichsweise schwierigen ökonomischen und sozialen Lebensbedingungen betroffen. Die Bereitschaft, das Land auf der Suche nach besseren Lebensbedingungen zu verlassen, zeigt sich erfahrungsgemäss besonders stark bei jüngeren und ungebundenen Personen. Ein im Ausland bestehendes soziales Beziehungsnetz (Freunde oder Verwandte) kann den Entscheid auszuwandern erleichtern.</w:t>
      </w:r>
    </w:p>
    <w:p>
      <w:r>
        <w:rPr>
          <w:b/>
        </w:rPr>
        <w:t>E. 7.2.2</w:t>
      </w:r>
    </w:p>
    <w:p>
      <w:r>
        <w:t>In Anbetracht der insgesamt schwierigen Verhältnisse in Indien ist nicht zu beanstanden, dass die Vorinstanz das Risiko einer nicht fristgerechten Wiederausreise allgemein als hoch einschätzte.</w:t>
      </w:r>
    </w:p>
    <w:p>
      <w:r>
        <w:rPr>
          <w:b/>
        </w:rPr>
        <w:t>E. 7.3</w:t>
      </w:r>
    </w:p>
    <w:p>
      <w:r>
        <w:t>Bei der Risikoanalyse sind allerdings nicht nur solch allgemeine Umstände und Erfahrungen, sondern auch sämtliche Gesichtspunkte des konkreten Einzelfalles zu berücksichtigen. Obliegt dem Gesuchsteller oder Gesuchstellerin im Heimatstaat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fremdenpolizeilich nicht vorschriftsgemässen Verhaltens nach bewilligter Einreise als hoch eingeschätzt werden.</w:t>
      </w:r>
    </w:p>
    <w:p>
      <w:r>
        <w:rPr>
          <w:b/>
        </w:rPr>
        <w:t>E. 7.4</w:t>
      </w:r>
    </w:p>
    <w:p>
      <w:r>
        <w:t>Beim Gesuchsteller handelt es sich um einen 18jährigen, ledigen Mann, der im Landwirtschaftsbereich tätig ist. Weitere Informationen sind den Akten nicht zu entnehmen. Verpflichtungen beruflicher, gesellschaftlicher oder familiärer Art, welche den Gesuchsteller nachhaltig von einer Emigration abzuhalten vermöchten, sind nicht ersichtlich. Mit der Vorinstanz ist daher davon auszugehen, dass die persönlichen Verhältnisse des Gesuchstellers nicht genügend Sicherheit für eine fristgerechte, anstandslose Wiederausreise bieten.</w:t>
      </w:r>
    </w:p>
    <w:p>
      <w:r>
        <w:rPr>
          <w:b/>
        </w:rPr>
        <w:t>E. 8</w:t>
      </w:r>
    </w:p>
    <w:p>
      <w:r>
        <w:t>Zusammenfassend kann festgehalten werden, dass die Vorinstanz zurecht zum Schluss gekommen ist, die Wiederausreise des Gesuchstellers erscheine aufgrund der allgemeinen Lage im Herkunftsland und aufgrund seiner persönlichen Situation nicht hinreichend gesichert. Damit fehlt es an einer Voraussetzung zur Erteilung eines Visums (vgl. oben E. 4.2). Aber auch der deklarierte Zweck des Aufenthaltes rechtfertigt die Verweigerung eines Visums, da es sich um eine bewilligungspflichtige Erwerbstätigkeit handelt, die nicht Gegenstand des vorliegenden Verfahrens sein kann. Die angefochtene Verfügung ist daher im Lichte von Art. 49 VwVG rechtmässig und die Beschwerde demzufolge abzuweisen.</w:t>
      </w:r>
    </w:p>
    <w:p>
      <w:r>
        <w:rPr>
          <w:b/>
        </w:rPr>
        <w:t>E. 9</w:t>
      </w:r>
    </w:p>
    <w:p>
      <w:r>
        <w:t>Bei diesem Ausgang des Verfahrens sind die Kosten den Beschwerdeführern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