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C-2134/2012 vom 7. Juli 2010</w:t>
      </w:r>
    </w:p>
    <w:p>
      <w:r>
        <w:t>Bundesverwaltungsgericht, 2010-07-07, IT</w:t>
      </w:r>
    </w:p>
    <w:p>
      <w:r>
        <w:rPr>
          <w:b/>
        </w:rPr>
        <w:t xml:space="preserve">Quelle: </w:t>
      </w:r>
      <w:r>
        <w:t>https://mcp.opencaselaw.ch/entscheid/bvger_C-2134_2012</w:t>
      </w:r>
    </w:p>
    <w:p>
      <w:r>
        <w:t>FR: TAF C-2134/2012 du 7 juillet 2010</w:t>
      </w:r>
    </w:p>
    <w:p>
      <w:r>
        <w:t>IT: TAF C-2134/2012 del 7 luglio 2010</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 A._______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cpv. 1 del codice frontiere Schengen, modificato con il Regolamento (UE) del Parlamento Europeo e del Consiglio del 25 marzo 2010, modificante la convenzione di applicazione dell'accordo di Schengen e il codice frontiere Schengen per quando riguarda la circolazione dei titolari di visto per soggiorni di lunga durata, definisce le condizioni d'ingresso per i cittadini di paesi terzi. Questi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valutato in modo particolare la volontà del richiedente di lasciare gli Stati membri Schengen, prima della scadenza del visto richiesto (cfr. art. 21 par. 1 codice dei visti). Ciò posto le condizioni d'entrata previste dal codice frontiere Schengen corrispondono essenzialmente a quelle di cui all'art. 5 cpv. 1 della legge federale del 16 dicembre 2005 sugli stranieri (LStr, RS 142.20).</w:t>
      </w:r>
    </w:p>
    <w:p>
      <w:r>
        <w:rPr>
          <w:b/>
        </w:rPr>
        <w:t>E. 5</w:t>
      </w:r>
    </w:p>
    <w:p>
      <w:r>
        <w:t>L'art. 5 cpv. 2 LStr esige inoltre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di visto all'atto di attraversamento delle frontiere esterne degli Stati Schengen. In proposito, essendo l'Iran contemplato nel sopracitato allegato I, la ricorrente, quale cittadina iraniana, soggiace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dei richiedenti.</w:t>
      </w:r>
    </w:p>
    <w:p>
      <w:r>
        <w:rPr>
          <w:b/>
        </w:rPr>
        <w:t>E. 7.2</w:t>
      </w:r>
    </w:p>
    <w:p>
      <w:r>
        <w:t>A tale proposito occorre prendere in considerazione la qualità di vita e le condizioni economiche e sociali prevalenti in Iran. Con un reddito annuo pro capite di 13'000.- USD, questo Paese è situato considerevolmente al di sotto degli Stati dell'U­nione europea e della Svizzera. Inoltre si è registrato recentemente un tasso di crescita negativo con un -0.9% per il 2012. Oltre a ciò il tasso di disoccupazione della popo­lazione attiva si avvicina al 15.5%. Si rileva infine che la situazione economica è at­tualmente influenzata negativamente dalla crisi economica e finanzia­ria mondiale e dalle tensioni internazionali createsi in riguardo alla questione nucleare (fonti: www.cia.gov &gt; Publications &gt; The world Factbook &gt; Iran, ultimo aggiornamento 5 giugno 2013 [sito internet consultato il 12 giugno 2013]).</w:t>
      </w:r>
    </w:p>
    <w:p>
      <w:r>
        <w:rPr>
          <w:b/>
        </w:rPr>
        <w:t>E. 7.3</w:t>
      </w:r>
    </w:p>
    <w:p>
      <w:r>
        <w:t>Tenuto conto delle considerazioni relative alla situazione socio-eco­nomica in Iran e del fatto che la predisposi­zione a lasciare il pro­prio paese d'origine è favorita, allorquando pa­renti o conoscenti si trovano all'estero, la valutazione dell'UFM ineren­te il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Oc­corre pertanto esamina­re se la persona interessata presenta le garanzie necessarie in vista di un'uscita dalla Svizzera e dallo Spazio Schengen nei termini prestabiliti ai sensi dell'art. 5 cpv. 2 LStr, considerando l'in­sieme delle circostanze del caso concre­to; in particolare gli obbli­ghi derivanti dalla sua situazione personale, famigliare e professionale, i quali pos­sono costituire una prognosi fa­vorevole per una partenza puntuale dal­la Svizzera.</w:t>
      </w:r>
    </w:p>
    <w:p>
      <w:r>
        <w:rPr>
          <w:b/>
        </w:rPr>
        <w:t>E. 8</w:t>
      </w:r>
    </w:p>
    <w:p>
      <w:r>
        <w:t>Nella fattispecie che qui ci riguarda è emerso dagli atti che la richiedente ha 31 anni, esercita un'attività quale docente presso la G._______ University, Soltaniyeh, ed è beneficiaria di un conto bancario presso la F._______ di 34'270'000.- Rial iraniano (IRR), ovvero al cambio attuale 2'795,25 dollari americani (USD) (tasso di cambio al 12 marzo 2013, 1 CHF, 12'705,60 IRR, cfr. http://www.oanda.com). L'interessata ha pure allegato altre attestazioni, segnatamente conferma dell'esistenza di un conto bancario a nome del padre, con disponibilità per 226'684'902 IRR (CHF 17'842,20), nonché certificati attestanti le proprietà immobiliari della famiglia. In questo contesto la richiedente ha dichiarato di beneficiare di risorse sufficienti nel proprio Paese e di definire benestante la propria situazione economica. Ciò detto, sebbene A._______ abbia comprovato una certa stabilità finanziaria e lavorativa nel proprio paese d'origine, il Tribunale evidenzia che le proprietà immobiliari e il conto bancario con maggiore disponibilità sono intestati al padre della stessa. Va inoltre rilevato che, ad eccezione dei genitori nonché e fratelli e sorelle, l'interessata non è sposata e/o ha figli nel proprio Paese d'origine. Infine, il Tribunale costata che la giovane età dell'interessata permetterebbe alla stessa di crearsi dei legami famigliari in Svizzera. Ne discende, a fronte di quanto sopra menzionato, che le condizioni d'ingresso per entrare nello spazio Schengen non sono adempiute. In particolare, il Tribunale ritiene che nella fattispecie i legami famigliari della richiedenti con il proprio Paese d'origine non sono sufficien­temente importanti per garantire con un alto grado di probabilità il suo ritorno in Iran alla scadenza del visto in conformità ai requisiti posti dall'art. 5 cpv. 2 LStr. Ciò detto, il Tribunale rileva che non può essere concesso il visto Schengen (art. 14 cpv. 1 let. d e art. 21 cpv. 1 Codice dei visti). Ne discende che la decisione oggetto di ricorso deve essere confermata e che la richiesta della ricorrente deve essere respinta.</w:t>
      </w:r>
    </w:p>
    <w:p>
      <w:r>
        <w:rPr>
          <w:b/>
        </w:rPr>
        <w:t>E. 9</w:t>
      </w:r>
    </w:p>
    <w:p>
      <w:r>
        <w:t>Resta tuttavia da esaminare se sussistono le condizioni per il rilascio di un permesso di soggiorno a validità territoriale limitata (VTL).</w:t>
      </w:r>
    </w:p>
    <w:p>
      <w:r>
        <w:rPr>
          <w:b/>
        </w:rPr>
        <w:t>E. 9.1</w:t>
      </w:r>
    </w:p>
    <w:p>
      <w:r>
        <w:t>Un visto a validità territoriale limitata può essere rilasciato allorquando uno stato membro reputa necessario, per ragioni umanitarie, per motivi di interesse nazionale oppure in virtù di obblighi internazionali di derogare al principio del rispetto delle condizioni previste all'art. 5 par. 1 let. a, c, d ed e del Codice frontiere Schengen (art. 25 par. 1 let. a ch. 1 del Codice dei visti, art. 5 par. 4 let. c del codice delle frontiere Schengen, art. 12 cpv. 4 e art. 2 cpv. 4 OEV). Di regola, lo Stato membro in questione fonda la propria decisione sulla ponderazione degli interessi in causa, tuttavia una deroga alle condizioni sopra esposte è ammessa con una certa limitatezza. Sulla base del principio di leale cooperazione, che è alla base dell'acquis Schengen (cfr. decisione della Corte di giustizia delle Comunità europee [CJCE] del 31 gennaio 2006, Commissione/Spagna, C-503/03, par, 37 e 56), lo Stato membro deve tenere presente che la decisione di concessione del VTL non tocca solamente i propri interessi, ma può parimenti nuocere agli interessi di altri Stati membri in ragione dell'assenza di controllo delle persone ai confini con lo Spazio Schengen. Lo Stato membro in questione è dunque garante sia dei propri interessi come pure di quelli degli altri Stati membri (cfr. decisione del Tribunale amministrativo federale C-2882/2010 del 20 giugno 2011 consid. 8.1).</w:t>
      </w:r>
    </w:p>
    <w:p>
      <w:r>
        <w:rPr>
          <w:b/>
        </w:rPr>
        <w:t>E. 9.2</w:t>
      </w:r>
    </w:p>
    <w:p>
      <w:r>
        <w:t>Nel caso in esame, il Tribunale rileva che il fratello invitante beneficia dello statuto di rifugiato, di modo che la circostanza che la sorella si rechi in Svizzera a rendergli visita dopo oltre 12 anni di lontananza, si pre­senta come l'unica possibilità ragionevole per poter riallacciare delle re­lazioni famigliari. Ciononostante per il Tribunale, l'interesse - per ragioni sostanzialmente umanitarie - ad autorizzare la ricorrente ad entrare sul territorio svizzero al fine di rendere visita al fratello, non è tuttavia preponderante rispetto all'interesse pubblico nell'assicurare la partenza dell'interessata alla scadenza del visto d'entrata, considerate in particolare come alte le probabilità che la stessa, data la giovane età e l'assenza di legami famigliari stretti (coniuge e/o discendenti diritti), desideri protrarre il soggiorno in Svizzera. Ne consegue che la concessione di un visto VTL per la ricorrente non è giustificata. Con riferimento alla precedente concessione di un visto VTL alla sorella della ricorrente, come indicato da quest'ultima nello scambio degli allegati scritti (cfr. lett. G), il Tribunale rileva che i presupposti sono sostanzialmente diversi, nella misura in cui la sorella comune è entrata in Svizzera con due figli minorenni e dopo aver lasciato il marito in Iran; in queste condizioni, con due minorenni a carico e con un legame famigliare stretto sia per lei che per i figli in Iran, molto difficilmente la sorella avrebbe optato per protrarre il soggiorno in Svizzera ciò che non può dirsi per la qui ricorrente, che giungerebbe in Svizzera senza figli al seguito e coniuge nel Paese d'origine.</w:t>
      </w:r>
    </w:p>
    <w:p>
      <w:r>
        <w:rPr>
          <w:b/>
        </w:rPr>
        <w:t>E. 10</w:t>
      </w:r>
    </w:p>
    <w:p>
      <w:r>
        <w:t>Alla luce di quanto sopra esposto, ne discende che l'UFM con decisione del 21 marzo 2012 non ha violato il diritto federale né abusato del suo potere di apprezzamento; l'autorità di prime cure non ha accertato in modo inesatto o incompleto i fatti giuridicamente rilevanti ed inoltre la decisione non é inadeguata (art. 49 PA). Per questi motivi il ricorso va respinto.</w:t>
      </w:r>
    </w:p>
    <w:p>
      <w:r>
        <w:rPr>
          <w:b/>
        </w:rPr>
        <w:t>E. 11</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