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C-2125/2011 vom 23. August 2011</w:t>
      </w:r>
    </w:p>
    <w:p>
      <w:r>
        <w:t>Bundesverwaltungsgericht, 2011-08-23, DE</w:t>
      </w:r>
    </w:p>
    <w:p>
      <w:r>
        <w:rPr>
          <w:b/>
        </w:rPr>
        <w:t xml:space="preserve">Quelle: </w:t>
      </w:r>
      <w:r>
        <w:t>https://mcp.opencaselaw.ch/entscheid/bvger_C-2125_2011</w:t>
      </w:r>
    </w:p>
    <w:p>
      <w:r>
        <w:t>FR: TAF C-2125/2011 du 23 août 2011</w:t>
      </w:r>
    </w:p>
    <w:p>
      <w:r>
        <w:t>IT: TAF C-2125/2011 del 23 agosto 2011</w:t>
      </w:r>
    </w:p>
    <w:p>
      <w:pPr>
        <w:pStyle w:val="Heading2"/>
      </w:pPr>
      <w:r>
        <w:t>Regeste</w:t>
      </w:r>
    </w:p>
    <w:p>
      <w:r>
        <w:t>Schengen-Visum</w:t>
      </w:r>
    </w:p>
    <w:p>
      <w:pPr>
        <w:pStyle w:val="Heading2"/>
      </w:pPr>
      <w:r>
        <w:t>Erwägungen</w:t>
      </w:r>
    </w:p>
    <w:p>
      <w:r>
        <w:rPr>
          <w:b/>
        </w:rPr>
        <w:t>E. 1.1</w:t>
      </w:r>
    </w:p>
    <w:p>
      <w:r>
        <w:t>Sofern das Verwaltungsgerichtsgesetz nichts anderes bestimmt, richtet sich das Verfahren vor dem Bundesverwaltungsgericht nach dem VwVG (Art. 37 VGG).</w:t>
      </w:r>
    </w:p>
    <w:p>
      <w:r>
        <w:rPr>
          <w:b/>
        </w:rPr>
        <w:t>E. 1.2</w:t>
      </w:r>
    </w:p>
    <w:p>
      <w:r>
        <w:t>Die Beschwerdeführerin ist als Verfügungsadressatin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 BGE 135 II 369 E 3.3).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5.4</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unterliegt die Beschwerdeführerin der Visumpflicht. 6.6.1. Die Vorinstanz verweigerte die Erteilung eines Visums an die Beschwerdeführerin insbesondere mit der Begründung, die fristgerechte Wiederausreise erschei­ne nicht gesichert. Dabei bezog sie sich im Wesentlichen auf die schwierige Situation im Herkunftsstaat sowie den allgemeinen und persönlichen Hintergrund der Beschwerdeführerin. 6.2.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6.3. Anhaltspunkte zur Beurteilung der fristgerechten Wiederausreise können sich aus der allgemeinen Lage im Herkunftsland der Gesuch­stellerin oder des Gesuchstellers ergeben. Dabei rechtfertigt es sich durchaus, Einreisegesuchen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 6.4. Die soziokulturelle Situation Sri Lankas ist noch immer durch den - mit Unterbrechung - 26 Jahre währenden und erst im Mai 2009 beendeten Bürgerkrieg geprägt.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ein grosser Teil auch bei Gastfamilien auf.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 entfacht. Derzeit scheint eine solche Lösung jedoch noch in weiter Ferne zu liegen, nicht zuletzt auch deshalb, weil der amtierende Präsident zwar eine Mitsprachemöglichkeit der tamilischen Bevölkerung in Regierungsfragen in Aussicht stellt, bis anhin aber nicht umgesetzt hat (Quellen: Deutsches Auswärtiges Amt, http://www.auswaertiges-amt.de Länder, Reise und Sicherheit Sri Lanka Innenpolitik, Stand: März 2011, besucht im August 2011; vgl. auch www.fluechtlingshilfe.ch, Sri Lanka: Aktuelle Situation, Update vom 1. Dezember 2010). 6.5. Vor diesem Hintergrund besteht erfahrungsgemäss häufig der Wunsch zur Auswanderung, welcher sich vor allem bei jüngeren und unge­bundenen Menschen manifestiert. Aber auch sozial ein­gebundene Menschen und solche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Sri Lanka sowohl im Jahre 2009 mit 1'415 Gesuchen als auch im Jahre 2010 mit immerhin noch 939 Gesuchen jeweils die drittgrösste Gruppe von Asylsu­chenden stell­ten (vgl. kommentierte Asylstatistik 2009 und 2010, je S. 3 und 10; im Internet unter: http://www.bfm.admin.ch , Themen Statistiken). 6.6.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Die Beschwerdeführerin ist eine junge, ledige und kinderlose Frau, die noch nie ins Ausland gereist ist. Die Absicht, ohne einen zwingenden Grund gleich für drei Monate von zu Hause weg zu sein, lässt darauf schliessen, dass ihr keine derartigen familiären Verpflichtungen obliegen, welche ihr eine zwingende Verantwortung zusprächen. Die Beschwerdeführerin macht dazu lediglich geltend, sie würde ihre Eltern und die zwei jüngeren Brüder verlassen, was emotional folgenschwer wäre. Das Zurücklassen der Familie bildet an sich auch keine Garantie für eine anstandslose und fristgerechte Wiederausreise nach einem Besuchsaufenthalt. Die Erfahrung zeigt, dass es in aller Regel vielmehr die individuell herrschenden wirtschaftlich-sozialen und sicherheitspolitischen Verhältnisse sind, die letztlich über Rückkehr oder Verbleib entscheiden. Eine Trennung von der Familie wird je nach Interessenlage in Kauf genommen. Vorliegend gibt die Beschwerdeführerin selber an, dass sie beinahe ein den westlichen Verhältnissen ähnliches Leben führe, was für einen gewissen Grad an Unabhängigkeit von der Familie sprechen könnte. Tritt hinzu, dass ihr Onkel das Schweizer Bürgerrecht besitzt und in der Schweiz wohnhaft ist. Die Beschwerdeführerin verfügt damit in der Schweiz über eine engere Bezugsperson, die den Weg der Emigration bereits vorausgegangen ist. Entsprechend kann nicht ausgeschlossen werden, dass die Ambition besteht dasselbe Ziel zu verfolgen.</w:t>
      </w:r>
    </w:p>
    <w:p>
      <w:r>
        <w:rPr>
          <w:b/>
        </w:rPr>
        <w:t>E. 7.2</w:t>
      </w:r>
    </w:p>
    <w:p>
      <w:r>
        <w:t>Ferner macht die Beschwerdeführerin berufliche und wirtschaftliche Bindungen geltend. In ihrem Antragsformular vom 22. November 2010 gibt sie bei den aktuellen beruflichen Angaben lediglich ihr Studium an, was zur berechtigten Vermutung führt, dass sie keiner wirtschaftlichen Tätigkeit nachgeht. Überdies attestiert die zu den Akten gereichte Bestätigung des Saranath College - Kuliyapitiya dessen Besuch lediglich vom 1. September 1999 bis am 4. Januar 2005. In der Einsprache vom 15. Dezember 2010 hingegen gibt sie lediglich an, einen Buchladen sowie zwei weitere Geschäfte zu besitzen. Gemäss den Einspracheunterlagen studiert die Beschwerdeführerin folglich nicht. In der verbesserten Eingabe vom 24. Februar 2011 wird dann eine Anmeldung zum Studium an der Universität in Colombo geltend gemacht. Derart divergierende Angaben lassen kein schlüssiges Bild über die tatsächliche Situation gewinnen. Dass sich die Vorinstanz dazu geneigt sah am Bestehen von beruflichen Bindungen zu zweifeln, ist nachvollziehbar. Weiter gibt die Beschwerdeführerin in ihrer Beschwerde vom 9. April 2011 an, dass ihr Buchladen auch in ihrer Abwesenheit unter Aufsicht ihrer Eltern weitergeführt werden könne und dies studienbedingt bereits heute so sei. Gemäss den mit dem Visumsgesuch eingereichten Bank- und Registerbelegen besitzt die Beschwerdeführerin ein Vermögen von einigen tausend Franken sowie Grundeigentum. Die Erfahrung zeigt allgemein, dass aufgrund des grossen Lohngefälles zwischen der Schweiz und Staaten wie Sri Lanka selbst ein für einheimische Verhältnisse gutes Einkommen nicht nachhaltig davon abhalten kann, das Heimatland dauerhaft zu verlassen. Auch geht der Grundbesitz mit Verlassen des Landes nicht verloren. Die Rückreisegarantie kann somit nicht in der fehlenden Bereitschaft bestehen, den Wohlstand in der Heimat nicht aufgeben zu wollen. Tatsache ist überdies, dass es diverse Gründe gibt, weshalb Menschen emigrieren (vgl. www.bfm.admin.ch &gt; Themen&gt; Weltweite Migration/Analysen &gt; Warum Menschen migrieren, Stand: Juni 2011, besucht August 2011). Das Nichtvorhandensein lediglich eines dieser Gründe schliesst das Bestehen eines oder mehrerer anderer nicht aus. Selbst wenn man davon ausgeht, dass die wirtschaftlichen Verhältnisse der Beschwerdeführerin vergleichsweise günstiger sind, so erfüllt dieser Aspekt dennoch lediglich einen der Umstände, welche für die Beurteilung herangezogen werden, ob ein Visum erteilt werden kann. Entscheidend sind indessen die gesamten Umstände des Einzelfalles, weshalb die Ausführungen der Vorinstanz keinen Widerspruch aufweisen und damit auch nicht willkürlich sind.</w:t>
      </w:r>
    </w:p>
    <w:p>
      <w:r>
        <w:rPr>
          <w:b/>
        </w:rPr>
        <w:t>E. 7.3</w:t>
      </w:r>
    </w:p>
    <w:p>
      <w:r>
        <w:t>Insgesamt betrachtet, sind somit weder in den familiären noch in den beruflichen und damit wirtschaftlichen Verhältnissen der Beschwerdeführerin Besonderheiten erkennbar, die eine Emigration als unwahrscheinlich erachten lassen.</w:t>
      </w:r>
    </w:p>
    <w:p>
      <w:r>
        <w:rPr>
          <w:b/>
        </w:rPr>
        <w:t>E. 7.4</w:t>
      </w:r>
    </w:p>
    <w:p>
      <w:r>
        <w:t>Vor dem allgemeinen und persönlichen Hintergrund durfte die Vorinstanz davon ausgehen, dass keine hinreichende Gewähr für eine fristgerechte und anstands­lose Wiederausreise der Beschwerdeführerin nach einem Besuchsaufent­halt besteht. Zwar lässt sich diese Einschätzung nicht zu einer gesicherten Feststellung verdichten; sie reicht aber aus, um die Erteilung einer Einreisebewilligung - auf die ohnehin kein Rechts­anspruch besteht - abzulehnen. An dieser Beurteilung ver­mögen auch die vom Gastgeber abgegebenen Zusiche­rungen nichts zu ändern. Als Gastgeber kann er - wie dies in casu mit der Unterzeichnung der Unterhaltsgarantie am 21. Februar 2011 geschehen ist - zwar für gewisse finanzielle Risiken (Lebensunterhaltungskosten während des Besuchsaufenthaltes, allfällige Kosten für Unfall und Krankheit sowie Rückreisekosten) Garantie leisten, nicht aber - mangels rechtlicher und faktischer Durchsetzbarkeit - für ein bestimmtes Verhalten ihrer Gäste (vgl. BVGE 2009/27 E. 9). Die Gewähr für eine gesicherte Wiederausreise kann auch durch die unterschriftlich abgegebene Garantie vom 7. Februar 2011, welche der Gastgeber eingereicht hat, nicht ersetzt werden. Die Integrität des Gastgebers wird durch das Gesagte jedoch in keiner Weise in Frage gestellt.</w:t>
      </w:r>
    </w:p>
    <w:p>
      <w:r>
        <w:rPr>
          <w:b/>
        </w:rPr>
        <w:t>E. 8</w:t>
      </w:r>
    </w:p>
    <w:p>
      <w:r>
        <w:t>Aus den dargelegten Gründen ist daher nicht zu beanstanden, dass die Vorinstanz das öffentliche Interesse sowie die Beachtung der geltenden Bestimmungen entsprechend gewichtete und der Beschwerdeführerin die Einreise verweigerte. Die angefochtene Verfügung ist somit im Ergebnis rechtsmässig (Art. 49 VwVG). Die Beschwerde ist demzufolge abzuweisen.</w:t>
      </w:r>
    </w:p>
    <w:p>
      <w:r>
        <w:rPr>
          <w:b/>
        </w:rPr>
        <w:t>E. 9</w:t>
      </w:r>
    </w:p>
    <w:p>
      <w:r>
        <w:t>Entsprechend dem Ausgang des Verfahrens wird die unterliegende Beschwerdeführerin kostenpflichtig (Art. 63 Abs. 1 VwVG). Die Verfahrenskosten sind auf Fr. 700.-- festzusetzen (Art. 1 ff. des Reglements über die Kosten und Entschädigungen vor dem Bundesverwaltungsgericht vom 21. Februar 2008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