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C-2123/2012 vom 29. April 2013</w:t>
      </w:r>
    </w:p>
    <w:p>
      <w:r>
        <w:t>Bundesverwaltungsgericht, 2013-04-29, FR</w:t>
      </w:r>
    </w:p>
    <w:p>
      <w:r>
        <w:rPr>
          <w:b/>
        </w:rPr>
        <w:t xml:space="preserve">Quelle: </w:t>
      </w:r>
      <w:r>
        <w:t>https://mcp.opencaselaw.ch/entscheid/bvger_C-2123_2012</w:t>
      </w:r>
    </w:p>
    <w:p>
      <w:r>
        <w:t>FR: TAF C-2123/2012 du 29 avril 2013</w:t>
      </w:r>
    </w:p>
    <w:p>
      <w:r>
        <w:t>IT: TAF C-2123/2012 del 29 aprile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Michael Beusch et Lorenz Kneubühler, Pro­zessieren vor dem Bundesverwaltungsgericht, Handbücher für die Anwaltspraxis, Tome X, Bâle 2008, p. 181, ad ch. 3.197, et Benoît Bovay, Procédure administrative, Berne 2000, p. 192 et 193, par. 6, ainsi que la jurisprudence citée). Aussi peut-elle admettre ou rejeter le pourvoi pour d'autres motifs que ceux invoqués. Dans son arrêt, elle prend en consi­dération l'état de fait régnant au moment où elle statue (cf. ATAF 2011/43 consid. 6.1 et 2011/1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voir également les arrêts du Tribunal administratif fédéral C-2989/2012 du 31 janvier 2013 consid. 3 et C-4143/2012 du 11 octobre 2012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voir également l'ATF 135 II 1 consid. 1.1 et les ATAF 2011/48 consid. 4.1 et 2009/27 consid. 3, ainsi que la jurisprudence citée).</w:t>
      </w:r>
    </w:p>
    <w:p>
      <w:r>
        <w:rPr>
          <w:b/>
        </w:rPr>
        <w:t>E. 4.1.1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(CE)no 562/2006 en ce qui concerne la circulation des personnes titulaires d'un visa de long séjour (JO L 85 du 31 mars 2010). Les conditions d'entrée ainsi prévues correspondent, pour l'essentiel, à celles posées à l'art. 5 LEtr (cf.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4.1.2</w:t>
      </w:r>
    </w:p>
    <w:p>
      <w:r>
        <w:t>Aussi, la pratique et la jurisprudence relatives à l'art. 5 LEtr, no­tamment celles concernant la garantie de sortie prévue par l'art. 5al. 2 LEtr, peuvent-elles être reprises in casu (sur les détails de cette pro­blématique, cf. ATAF 2009/27 précité,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art. 2 al. 4 OEV, art. 32 par. 1 en relation avec art. 25 par. 1 let. a ch. i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En tant que ressortissante du Cameroun, B._______ est soumise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(considérés de manière objective et sans référence à l'origine ethnique, par exemple)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Tribunal C-2989/2012 précité, consid. 5.1, etC-5400/2011 du 17 août 2012 consid. 6).</w:t>
      </w:r>
    </w:p>
    <w:p>
      <w:r>
        <w:rPr>
          <w:b/>
        </w:rPr>
        <w:t>E. 5.4</w:t>
      </w:r>
    </w:p>
    <w:p>
      <w:r>
        <w:t>A ce sujet, il faut prendre en considération la qualité de vie et les conditions économiques particulières que connaît l'ensemble de la population du Cameroun, où le produit intérieur brut (PIB) par habitant ne s'élevait qu'à USD 1'180.- en 2011. En février 2008, le pays a connu les "émeutes de la faim" et le coût des denrées de première nécessité demeure aujourd'hui encore une préoccupation majeure des Camerounais (cf. www.diplomatie.gouv.fr &gt; Dossiers pays &gt; Cameroun, mise à jour le 15 mars 2013, consulté en avril 2013). Ainsi, la situation économique du Cameroun (dont la croissance est structurellement insuffisante et dont la production agro-alimentaire peine à suivre l'augmentation de la demande locale dans la mesure où la population camerounaise croît de plus de 400'000 habitants chaque année) entraîne inévitablement une forte pression migratoire. Cette tendance migratoire est encore renforcée, comme l'expérience l'a démontré, lorsque les personnes concernées peuvent s'appuyer à l'étranger sur un réseau social (parents, amis) préexistant, comme cela est le cas en l'espèce.</w:t>
      </w:r>
    </w:p>
    <w:p>
      <w:r>
        <w:rPr>
          <w:b/>
        </w:rPr>
        <w:t>E. 5.5</w:t>
      </w:r>
    </w:p>
    <w:p>
      <w:r>
        <w:t>Comme cela a déjà été mentionné ci-dessus, la seule situation dans le pays d'origine ne suffit toutefois pas à conclure à l'absence de garantie quant à la sortie de Suisse à l'issue du séjour, toutes les particularités du cas d'espèce devant être prises en considération.</w:t>
      </w:r>
    </w:p>
    <w:p>
      <w:r>
        <w:rPr>
          <w:b/>
        </w:rPr>
        <w:t>E. 6</w:t>
      </w:r>
    </w:p>
    <w:p>
      <w:r>
        <w:t>En l'espèce, il ressort des indications figurant dans le formulaire de demande de visa et les documents produits à l'appui de cette requête que B._______, âgée de 46 ans, est mariée et mère de six enfants, dont plusieurs sont encore mineurs. Elle occupe par ailleurs le poste de caissière dans une entreprise de Douala pour un salaire mensuel de 81'588 CFA Franc BEAC (environ 151 francs selon le taux de change en avril 2013). Même si l'invitée a de la famille (dont notamment le conjoint, des enfants dont certains sont encore mineurs, et des proches)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le Cameroun, suffire toutefois, à eux seuls, à garantir son retour dans cet Etat, cela d'autant moins qu'elle dispose d'un réseau social préexistant en Suisse (cf. consid. 5.4). En effet, au vu de l'expérience générale, un tel lien est parfois insuffisant pour inciter une personne à retourner dans son pays et, souvent, ne l'emporte pas sur la perspective d'un meilleur avenir en Suisse, si l'on prend en considération les disparités économiques importantes existant entre la Suisse et le Cameroun. Pareille crainte paraît d'autant plus fondée qu'au vu des pièces figurant au dossier, l'intéressée occupe un poste de travail modeste et qu'elle doit compléter ses revenus par une activité dans le secteur de la restauration. Elle indique certes être propriétaire avec son mari d'une résidence (cf. opposition du 3 avril 2012); toutefois, elle n'a apporté aucune preuve de cette allégation. Par ailleurs, il n'apparaît pas qu'elle ait déjà voyagé à l'étranger. En l'état du dossier, aucun élément ne permet de constater une réelle volonté de regagner son pays. Compte tenu des circonstances socio-économiques rappelées ci-avant, B._______ pourrait en effet être tentée, une fois entrée en Suisse, de prolonger son séjour en ce pays, fût-ce temporairement, dans le but d'y trouver des conditions d'existence plus favorables que celles qu'elle connaît actuellement au Cameroun, malgré les assurances contraires qui ont été données dans le cadre de la procédure de recours. Cette hypothèse peut en l'espèce être d'autant moins écartée que l'intéressée dispose en Suisse d'un réseau social bien établi. Enfin, l'on ne décèle aucun élément dans le dossier qui permette de conclure que la situation financière de l'intéressée se trouverait péjorée si elle prenait la décision de demeurer sur territoire helvétique à l'expiration de son visa.</w:t>
      </w:r>
    </w:p>
    <w:p>
      <w:r>
        <w:rPr>
          <w:b/>
        </w:rPr>
        <w:t>E. 7</w:t>
      </w:r>
    </w:p>
    <w:p>
      <w:r>
        <w:t>La recourante insiste dans son pourvoi sur le fait qu'elle se porte garante de son invitée. Assurément, le Tribunal n'entend nullement mettre en doute la bonne foi ou la droiture de la recourante. Il sied à ce sujet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Toutefois, les assurances données en la matière, comme celles formulées notamment sur le plan financier, ne sont qu'un des éléments pris en compte pour se prononcer sur la question de savoir si un visa peut être accordé au ressortissant étranger qui le sollicite;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Cela étant, le désir exprimé de venir en Suisse pour rendre visite à sa soeur ne constitue pas à lui seul un motif justifiant l'octroi d'un visa, à propos duquel elle ne saurait au demeurant se prévaloir d'aucun droit (cf. consid. 3).</w:t>
      </w:r>
    </w:p>
    <w:p>
      <w:r>
        <w:rPr>
          <w:b/>
        </w:rPr>
        <w:t>E. 8</w:t>
      </w:r>
    </w:p>
    <w:p>
      <w:r>
        <w:t>Les conditions d'entrée prévues par le code frontières Schengen concernant les garanties que l'invitée quittera le pays dans le délai fixé ne sont pas remplies in casu. La recourante n'a, par ailleurs, pas non plus invoqué de raisons susceptibles de justifier la délivrance d'un visa à validité territoriale limitée en faveur de B._______ (cf. consid. 4.2). C'est donc de manière justifiée que l'ODM a écarté la demande de la prénommée. Enfin, il convient encore de noter qu'un refus d'autorisation d'entrée en Suisse prononcé par les autorités helvétiques n'a pas en l'occurrence pour conséquence d'empêcher les intéressées de se voir, celles-ci pouvant tout aussi bien se rencontrer hors de Suisse, nonobstant les inconvénients d'ordre pratique que cela pourrait engendrer.</w:t>
      </w:r>
    </w:p>
    <w:p>
      <w:r>
        <w:rPr>
          <w:b/>
        </w:rPr>
        <w:t>E. 9</w:t>
      </w:r>
    </w:p>
    <w:p>
      <w:r>
        <w:t>Compte tenu des considérants exposés ci-dessus, il appert que, par sa décision du 13 avril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