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C-2117/2009 vom 16. Juni 2011</w:t>
      </w:r>
    </w:p>
    <w:p>
      <w:r>
        <w:t>Bundesverwaltungsgericht, 2011-06-16, IT</w:t>
      </w:r>
    </w:p>
    <w:p>
      <w:r>
        <w:rPr>
          <w:b/>
        </w:rPr>
        <w:t xml:space="preserve">Quelle: </w:t>
      </w:r>
      <w:r>
        <w:t>https://mcp.opencaselaw.ch/entscheid/bvger_C-2117_2009</w:t>
      </w:r>
    </w:p>
    <w:p>
      <w:r>
        <w:t>FR: TAF C-2117/2009 du 16 juin 2011</w:t>
      </w:r>
    </w:p>
    <w:p>
      <w:r>
        <w:t>IT: TAF C-2117/2009 del 16 giugno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w:t>
      </w:r>
    </w:p>
    <w:p>
      <w:r>
        <w:rPr>
          <w:b/>
        </w:rPr>
        <w:t>E. 5</w:t>
      </w:r>
    </w:p>
    <w:p>
      <w:r>
        <w:t>Il ricorrente ha presentato la seconda domanda di rendita il 4 marzo 2005. In deroga all'art. 24 LPGA, l'art. 48 cpv. 2 LAI (nel suo tenore in vigore fino al 31 dicembre 2007) precisa che, se l'assicurato si annuncia più di dodici mesi dopo la nascita del diritto, le prestazioni possono essere assegnate soltanto per i 12 mesi precedenti la richiesta. Tuttavia, lo scrivente Tribunale può limitarsi ad esaminare se il ricorrente avesse diritto ad una rendita il 20 ottobre 2004 (data della prima decisione), oppure se un diritto alla rendita sia sorto tra tale data ed il 25 febbraio 2009, data dell'impugnata decisione. Il giudice delle assicurazioni sociali analizza, infatti, la legalità della decisione impugnata, in generale, secondo lo stato di fatto esistente al momento in cui la decisione in lite è stata resa (DTF 130 V 445 consid. 1.2).</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Una rendita limitata e/o 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determinate il diritto a prestazioni non appena esso perdura da tre mesi senza interruzione notevole. 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7.6</w:t>
      </w:r>
    </w:p>
    <w:p>
      <w:r>
        <w:t>Ancora può essere aggiunto che, in base all'art. 29bis OAI, nel tenore vigente fino al 31 dicembre 2007, se la rendita è stata soppressa a causa dell'abbassamento del grado d'invalidità e che l'assicurato, nel susseguente periodo di tre anni presenta di nuovo un grado d'invalidità suscettibile di far nascere il diritto alla rendita per incapacità al lavoro della stessa origine, il periodo precedente la prima erogazione verrà dedotto dal periodo d'attesa impostogli dall'art. 29 cpv. 1 LAI (o art. 28 cpv. 1 lett. b nel tenore vigente dal 1° gennaio 2008).</w:t>
      </w:r>
    </w:p>
    <w:p>
      <w:r>
        <w:rPr>
          <w:b/>
        </w:rPr>
        <w:t>E. 8.1</w:t>
      </w:r>
    </w:p>
    <w:p>
      <w:r>
        <w:t>A._______, dopo aver cessato l'attività piastrellista per ragioni di salute il 3 agosto 2001 ed essere stato indennizzato oltre che dall'INSAI/SUVA anche dall'assicurazione svizzera per l'invalidità con una mezza rendita dal 1° agosto 2002 al 31 gennaio 2003, ha ripreso a lavorare come muratore il 24 giugno 2003 (in Italia); l'attività è stata interrotta per ragioni di salute dal 29 marzo al 31 dicembre 2004 e dal 1° maggio 2005 in poi. Secondo dati frammentari avrebbe poi ripreso a lavorare per la stessa ditta come autista (non è dato a sapere da quando), ma in modo saltuario per poche ore al giorno. Non è dato a sapere se dal 1° gennaio al 31 aprile 2005 sia stato assegnato a compiti meno gravosi.</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Nel caso in esame dal punto di vista diagnostico, è lecito ritenere quanto evidenziato nella perizia pluridisciplinare del SAM del 15 aprile 2008 (visite del febbraio/marzo 2008). I periti incaricati hanno evidenziato: Diagnosi con influenza sulla capacità lavorativa: periartropatia omero scapolare con sintomatologia di attrito in esiti da interventi chirurgici alle spalle bilaterali, nota gonartrosi tricompartimentale a destra in lesione meniscale degenerativa mediale, condrocalcinosi, esiti di trauma contusivo al ginocchio destro il 2 giugno 1999; sindrome panvertebrale con componente cervico-lombospondilogena cronica bilaterale in alterazioni degenerative della colonna cervicale (condrosi C5-C6 con minima retrolistesi di C5 su C6, condrosi C6/C6 con spondilosi anteriore, uncartrosi plurisegmentale), alterazioni degenerative della colonna lombare (spondilosi e spondilo artrosi), disturbi statici del rachide (cifosi della dorsale con protrazione del capo, minima scoliosi sinistro convessa dorsale compensata), decondizionamento muscolare, sindrome mialgica generalizzata. Diagnosi senza influenza sulla capacità lavorativa: anamnesticamente lieve sindrome del tunnel carpale a destra attualmente non sintomatica, ipoacusia percettiva bilaterale, tinnito bilaterale, sovrappeso. La documentazione esibita in sede di audizione e di ricorso non pone in evidenza ulteriori patologie.</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 fatto salvo l'art. 29bis OAI menzionato (cfr. consid. 7.6).</w:t>
      </w:r>
    </w:p>
    <w:p>
      <w:r>
        <w:rPr>
          <w:b/>
        </w:rPr>
        <w:t>E. 10.1</w:t>
      </w:r>
    </w:p>
    <w:p>
      <w:r>
        <w:t>Per quanto concerne le conseguenze invalidanti delle menzionate affezioni, l'Ufficio AI del Cantone Ticino si è rimesso alle risultanze emerse dall'indagine del SAM. Al proposito, va rilevato che una perizia richiesta dall'UAI cantonale (in casu un servizio di accertamento medico specifico dell'assicurazione per l'invalidità)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o non conclusive alla luce di altri referti. Il Tribunale federale ha inoltre precisato che deve essere considerata rilevante una perizia affidata al SAM, negando che tale servizio medico possa essere considerato parte in causa per sussistenza di un vincolo per cui l'istituto medesimo sarebbe obbligato a tenere in particolare considerazione gli interessi specifici dell'assicurazione per l'invalidità (DTF 136 V 376 consid. 4). Determinante è invece la circostanza che la perizia del SAM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w:t>
      </w:r>
    </w:p>
    <w:p>
      <w:r>
        <w:rPr>
          <w:b/>
        </w:rPr>
        <w:t>E. 10.2</w:t>
      </w:r>
    </w:p>
    <w:p>
      <w:r>
        <w:t>Con la decisione impugnata è stato riconosciuto al ricorrente il diritto a una rendita intera limitata nel tempo dal 1° dicembre 2004 al 30 novembre 2006. Circa la data di decorrenza della rendita, non contestata dalle parti, va rilevato che, in applicazione dell'art. 29bis OAI (cfr. consid. 7.6), il diritto è stato riconosciuto correttamente dall'inizio della nuova incapacità lavorativa. Infatti, l'incapacità insorta nel dicembre 2004 è dovuta alle stesse patologie per le quali l'interessato era stato posto al beneficio della mezza rendita con decisione del 20 ottobre 2004.</w:t>
      </w:r>
    </w:p>
    <w:p>
      <w:r>
        <w:rPr>
          <w:b/>
        </w:rPr>
        <w:t>E. 10.3</w:t>
      </w:r>
    </w:p>
    <w:p>
      <w:r>
        <w:t>Il diritto alla rendita è stato limitato al 30 novembre 2006, in seguito al presunto miglioramento costatato dall'INSAI/SUVA nella sua visita medica di chiusura del 7 giugno 2006. La valutazione dell'invalidità da parte dell'assicuratore infortuni non vincola tuttavia, nella fattispecie, né l'autorità inferiore né lo scrivente Tribunale. Infatti, l'assicuratore infortuni si è limitato ad esaminare la vertenza alla luce delle conseguenze dell'infortunio del 3 agosto 2001, che ha avuto ripercussioni soprattutto per la spalla destra, e quello del 2 giugno 1999 (ginocchio destro). È quindi a ragione che l'Ufficio AI cantonale si è rivolto al SAM per procedere a una perizia interdisciplinare volta a esaminare il caso non solo dal punto di vista infortunistico.</w:t>
      </w:r>
    </w:p>
    <w:p>
      <w:r>
        <w:rPr>
          <w:b/>
        </w:rPr>
        <w:t>E. 10.4</w:t>
      </w:r>
    </w:p>
    <w:p>
      <w:r>
        <w:t>Ora, dalla perizia del SAM emerge che l'interessato soffre principalmente di affezioni alle spalle e al ginocchio destro. La sindrome fibromialgica generalizzata è ininfluente sulla capacità di lavoro residua, il Dott. Mari, psichiatra, non avendo riscontrato alcuna incapacità né disturbo psicopatologico maggiore, come del resto il Dott. Bernasconi, neurologo. Circa le affezioni somatiche lamentate dall'insorgente, il Dott. Christen nella sua visita del 3 marzo 2008 ha osservato che sussistono limitazioni importanti a carico soprattutto delle spalle. L'insorgente deve quindi evitare sforzi ripetuti e il sollevamento di pesi. Nel dettaglio, il Dott. Christen indica come l'interessato possa sollevare pesi fino a 5 kg all'altezza dei fianchi, ma solo di rado a partire da 10 kg e mai oltre i 25 kg. La rotazione manuale delle spalle è ancora normale e l'assicurato può maneggiare attrezzi di precisione. Egli non può effettuare lavori al di sopra della testa, può tuttavia effettuare la rotazione del corpo e mantenere la posizione seduta di lunga durata. Anche la posizione in piedi è possibile. I problemi al ginocchio lo limitano negli spostamenti lunghi e gli impediscono di accovacciarsi. A suo parere, tenuto conto di queste limitazioni, l'interessato potrebbe svolgere un'attività leggera e sedentaria al 100%, e questo a partire dal dicembre 2004. Questa data è stata poi corretta dal Dott. Erba che ha ritenuto il 1° settembre 2006 per tenere conto delle risultanze dell'INSAI/SUVA. Le costatazioni del Dott. Christen non sono efficacemente smentite dai medici consultati dall'insorgente. Il Dott. Caranzano, nel suo scritto del 30 dicembre 2008, non avendo l'incarto a disposizione, riserva il suo parere e non esprime alcuna critica in merito alle conclusioni del Dott. Christen. L'esame ecotomografico del Dott. Peroni effettuato l'11 febbraio 2008, non sottoposto al SAM ma esaminato dal Dott. Erba, non menziona alcuna incapacità lavorativa. Le costatazioni di questo esame non apportano novità di rilievo a quanto già conosciuto dai medici del SAM. Il Dott. Enrico, nella sua perizia del 20 dicembre 2009, certo ritiene che l'insorgente può lavorare al 50% in attività sostitutive, scostandosi pertanto dalla valutazione del Dott. Christen. Tuttavia, il medico di parte condivide con il Dott. Christen il fatto che l'insorgente può sollevare pesi fino à 5 kg, può effettuare spostamenti (raramente lunghi) e può mantenere la posizione seduta per lungo tempo. In sostanza, le limitazioni indicate dal Dott. Enrico coincidono con quelle indicate dal Dott. Christen. Si tratta pertanto di una differente valutazione del medesimo stato di salute, come peraltro rilevato dal Dott. Erba nella sua nota del 4 marzo 2009. L'ecografia alle spalle del 28 maggio 2009 e il certificato del 15 giugno 2009 del Dott. Cherubino confermano le patologie di cui è affetto l'insorgente ma non indicano alcuna incapacità di lavoro. Questi certificati sono stati esaminati dal Dott. Erba che ha confermato la sua precedente valutazione. Anche il Dott. Tavani, nella perizia del 12 settembre 2010, redatta dopo la chiusura dello scambio degli scritti, conferma la diagnosi conosciuta. Il perito stima che l'interessato subisce un pregiudizio del 50% per la sua integrità psicofisica. Non è dato sapere se si tratta di un'incapacità di lavoro in un'attività leggera: il perito sembra piuttosto riferirsi al lavoro di muratore e di camionista con mansioni di carico e scarico, per le quali non è contestato che vi sia un'incapacità di almeno il 50%.</w:t>
      </w:r>
    </w:p>
    <w:p>
      <w:r>
        <w:rPr>
          <w:b/>
        </w:rPr>
        <w:t>E. 10.5</w:t>
      </w:r>
    </w:p>
    <w:p>
      <w:r>
        <w:t>Il collegio giudicante non ha pertanto alcun motivo di scostarsi dal convincente parere dei medici del SAM e del Dott. Erba dell'Ufficio AI cantonale fondato sul corretto apprezzamento del caso concreto e sull'attento esame della documentazione medica ad atti. Si tratta di osservazioni da cui si possono derivare utili, oggettivi e persuasivi elementi di giudizio atti a dimostrare che, nonostante le affezioni di cui è portatore, A._______ ha presentato una incapacità di lavoro non solo come manovale ma anche in attività di ripiego dal 6 dicembre 2004 al 31 agosto 2006. A partire da questa data avrebbe potuto riprendere un lavoro leggero e sedentario al 100%.</w:t>
      </w:r>
    </w:p>
    <w:p>
      <w:r>
        <w:rPr>
          <w:b/>
        </w:rPr>
        <w:t>E. 10.6</w:t>
      </w:r>
    </w:p>
    <w:p>
      <w:r>
        <w:t>La gamma di attività offerte al ricorrente sono molteplici e rispettano i limiti funzionali menzionati dai sanitari consultati. Come rilevato nel rapporto del CIP del 30 ottobre 2008, il nominato, privo di formazione professionale specifica e con la sola formazione scolastica elementare, potrebbe svolgere lavori semplici, non qualificati, ripetitivi (operaio generico nell'industria come addetto al controllo di macchine di produzione automatica, operaio imballatore, operaio di rifinitura manufatti leggeri; impiegato nel terziario come custode, fattorino in ditta privata, sorvegliante, autista su mezzi leggeri, commesso in gradi punti di vendita). Inoltre, la maggior parte di questo posti non richiede una lunga formazione, ma solo un breve periodo di introduzione. Tenuto conto di queste circostanze, l'età del ricorrente non pregiudica a priori il suo reinserimento professionale. Occorre pertanto esaminare se, nell'ambito di attività di sostituzione, l'insorgente presenti un'incapacità di guadagno di rilievo.</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11.2.1</w:t>
      </w:r>
    </w:p>
    <w:p>
      <w:r>
        <w:t>Di regola, è ritenuto reddito senza invalidità il salario realmente percepito prima dell'insorgere del danno alla salute, aggiornato al momento determinante per il calcolo dell'invalidità e adeguato all'evoluzione dei salari nominali del settore interessato (tra gli altri VSI 2000 p. 310). Secondo quanto riportato nella decisione dell'INSAI/SUVA del 14 marzo 2007, il salario percepito dall'insorgente ammontava nel 2006 a Fr. 60'541.- mentre il salario annuo assicurato era nel 2007 di Fr. 62'476.-. Il CIP si è basato su quest'ultimo importo. Si deve tuttavia rilevare che, a mente della giurisprudenza (DTF 128 V 174 e 129 V 222), il salario determinante è di regola quello versato al momento dell'insorgere dell'invalidità o, nel caso di una rendita limitata nel tempo, quello della modifica della prestazione. Il salario da valido determinante nella fattispecie è quindi quello del 2006, quindi Fr. 60'541.-.</w:t>
      </w:r>
    </w:p>
    <w:p>
      <w:r>
        <w:rPr>
          <w:b/>
        </w:rPr>
        <w:t>E. 11.2.2</w:t>
      </w:r>
    </w:p>
    <w:p>
      <w:r>
        <w:t>L'insorgente fa valere che questo salario sarebbe inferiore alla media dei salari percepiti nel settore edile. Chiede pertanto che venga tenuto conto di questa differenza che lo penalizza nel raffronto dei redditi. Ora, la differenza tra il salario realmente percepito e quello medio del settore è irrilevante ai fini del risultato della presente procedura. Il salario mensile statistico nel settore edile era nel 2006 di Fr. 5'007.- per un lavoratore senza formazione (dati dell'Ufficio federale di statistica, Tabella TA1). Il salario annuale ammontava quindi a Fr. 60'084.-. Tenendo conto di una durata lavorativa settimanale di 41.7 ore (invece delle 40 ore in base alle quali sono elaborate le statistiche), si ottiene un importo di Fr. 62'637.57. La differenza tra il salario effettivamente percepito (Fr. 60'541. ) e quello statistico (Fr. 62'637.57) è del 3.35%. È vero che secondo la giurisprudenza, se il guadagno effettivamente conseguito diverge di almeno il 5% dal salario statistico usuale nel settore, si può giustificare - soddisfatte le ulteriori condizioni - un parallelismo dei redditi di paragone. Questo parallelismo si effettua tuttavia soltanto per la parte percentuale eccedente la soglia del 5 % (DTF 135 V 297 consid. 6.1.3). Nella fattispecie, la differenza che si può prendere in considerazione è inferiore a questa soglia: la richiesta del ricorrente non può quindi essere accolta.</w:t>
      </w:r>
    </w:p>
    <w:p>
      <w:r>
        <w:rPr>
          <w:b/>
        </w:rPr>
        <w:t>E. 11.3.1</w:t>
      </w:r>
    </w:p>
    <w:p>
      <w:r>
        <w:t>Quale reddito da invalido l'Ufficio AI cantonale ha ritenuto quello ottenibile in attività di tipo leggero non qualificate e ripetitive. Solo i valori nazionali (statistiche UFS) sono applicabili (tabella TA1, livello 4, uomini). Queste attività comportano un salario medio mensile di Fr. 4'732.- (annuo di 56'784.-) nel 2006. Tenuto conto che le statistiche sono stilate su una base oraria di 40 ore settimanali invece delle 41.7 ore del settore, si deve procedere ad un adeguamento che porta il salario da invalido a Fr. 59.197.32. L'Ufficio AI cantonale si è basato su un importo di Fr. 60'144.- riferendosi a torto ai dati 2007 invece del 2006.</w:t>
      </w:r>
    </w:p>
    <w:p>
      <w:r>
        <w:rPr>
          <w:b/>
        </w:rPr>
        <w:t>E. 11.3.2</w:t>
      </w:r>
    </w:p>
    <w:p>
      <w:r>
        <w:t>Questo introito teorico può essere ridotto per tenere conto dei fattori personali dell'assicurato (DTF 126 V 75), quali età, handicap. L'amministrazione ha operato una deduzione complessiva del 10%, ciò che può essere condiviso. Deve essere aggiunto che nell'ambito dell'applicazione di tale riduzione per fattori personali, l'amministrazione gode di un'ampia autonomia di giudizio che il giudice può rivedere soli in casi particolari. Ora, l'applicazione della riduzione massima non appare giustificata dal momento che nel 2006 (anno di riferimento del calcolo) egli aveva 53 anni e l'handicap fisico è limitato, praticamente, ai problemi delle spalle e del ginocchio. La scarsa formazione giustifica invece una riduzione del salario da invalido ma non superiore al 10%. Ne consegue dunque un introito dopo l'insorgenza dell'invalidità di Fr. 53'277.58.</w:t>
      </w:r>
    </w:p>
    <w:p>
      <w:r>
        <w:rPr>
          <w:b/>
        </w:rPr>
        <w:t>E. 11.4</w:t>
      </w:r>
    </w:p>
    <w:p>
      <w:r>
        <w:t>Il confronto fra un reddito privo d'invalidità di Fr. 60'541.- ed un introito teorico dopo l'insorgenza dell'invalidità di Fr. 53'277.58, causa una perdita di guadagno del 11.99% (arrotondato al 12%), tasso che esclude il riconoscimento del diritto a una rendita dell'assicurazione svizzera per l'invalidità. È quindi a ragione che l'autorità inferiore ha soppresso la rendita intera d'invalidità con effetto dal 30 novembre 2006, tre mesi dopo il miglioramento, in applicazione dell'art. 88a cpv. 1 OAI. Anche nell'ipotesi in cui si dovesse ammettere la riduzione massima consentita (25% invece del 10%), la perdita di guadagno non raggiungerebbe il 40%. In queste circostanze il ricorso deve essere respinto e l'impugnata decisione confermata.</w:t>
      </w:r>
    </w:p>
    <w:p>
      <w:r>
        <w:rPr>
          <w:b/>
        </w:rPr>
        <w:t>E. 12.1</w:t>
      </w:r>
    </w:p>
    <w:p>
      <w:r>
        <w:t>Di regola la procedura è soggetta alle spese processuali (art. 69 cpv. 1bis e 2 LAI). Nella sua memoria ricorsuale, l'insorgente ha chiesto di essere esonerato da queste spese e, su richiesta dello scrivente Tribunale, ha compilato il formulario per la domanda di gratuito patrocinio. Vista la situazione personale dell'insorgente, le spese processuali possono tuttavia essere condonate (art. 6 lett. a del regolamento del 21 febbraio 2008 sulle tasse e sulle spese ripetibili nelle cause dinanzi al Tribunale amministrativo federale [TS-TAF, RS 173.320.2]).</w:t>
      </w:r>
    </w:p>
    <w:p>
      <w:r>
        <w:rPr>
          <w:b/>
        </w:rPr>
        <w:t>E. 12.2</w:t>
      </w:r>
    </w:p>
    <w:p>
      <w:r>
        <w:t>Conformemente all'art. 64 PA, l'autorità di ricorso, se ammette il ricorso in tutto o in parte, può assegnate al ricorrente un'indennità per le spese indispensabili e relativamente elevate che ha sopportato. Visto l'esito del ricorso, non sono assegnate al ricorrente indennità per le spese ripetibili. Per quel che concerne l'UAIE, le autorità federali non hanno diritto ad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