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C-2108/2012 vom 26. März 2014</w:t>
      </w:r>
    </w:p>
    <w:p>
      <w:r>
        <w:t>Bundesverwaltungsgericht, 2014-03-26, DE</w:t>
      </w:r>
    </w:p>
    <w:p>
      <w:r>
        <w:rPr>
          <w:b/>
        </w:rPr>
        <w:t xml:space="preserve">Quelle: </w:t>
      </w:r>
      <w:r>
        <w:t>https://mcp.opencaselaw.ch/entscheid/bvger_C-2108_2012</w:t>
      </w:r>
    </w:p>
    <w:p>
      <w:r>
        <w:t>FR: TAF C-2108/2012 du 26 mars 2014</w:t>
      </w:r>
    </w:p>
    <w:p>
      <w:r>
        <w:t>IT: TAF C-2108/2012 del 26 marzo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das BFM, das mit der Abweisung der Einsprache betreffend Verweigerung eines Schengen-Visums eine Verfügung im erwähnten Sinne und daher ein zulässiges Anfechtungsobjekt erlassen hat. Eine Ausnahme nach Art. 32 VGG liegt nicht vor.</w:t>
      </w:r>
    </w:p>
    <w:p>
      <w:r>
        <w:rPr>
          <w:b/>
        </w:rPr>
        <w:t>E. 1.2</w:t>
      </w:r>
    </w:p>
    <w:p>
      <w:r>
        <w:t>Das Rechtsmittelverfahren richtet sich nach dem Verwaltungsverfahrensgesetz, soweit das Verwaltungsgerichtsgesetz nichts anderes bestimmt (vgl. Art. 37 VGG).</w:t>
      </w:r>
    </w:p>
    <w:p>
      <w:r>
        <w:rPr>
          <w:b/>
        </w:rPr>
        <w:t>E. 1.3</w:t>
      </w:r>
    </w:p>
    <w:p>
      <w:r>
        <w:t>Der Beschwerdeführer ist gemäss Art. 48 Abs. 1 VwVG zur Beschwerde berechtigt. Auf die im Übrigen frist- und formgerecht eingereichte Beschwerde ist einzutreten (vgl.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BVGE 2011/43 E. 6.1 und BVGE 2011/1 E. 2).</w:t>
      </w:r>
    </w:p>
    <w:p>
      <w:r>
        <w:rPr>
          <w:b/>
        </w:rPr>
        <w:t>E. 3</w:t>
      </w:r>
    </w:p>
    <w:p>
      <w:r>
        <w:t>Der angefochtenen Verfügung liegt das Gesuch einer kosovarischen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vom 16. Dezember 2005 (AuG, SR 142.20) und seine Ausführungsbestimmungen gelangen nur soweit zur Anwendung, als die Schengen-Assoziierungsabkommen keine abweichenden Bestimmungen enthalten (vgl. Art. 2 Abs. 2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Caroni / Gächter / Thurnherr [Hrsg.], Stämpflis Handkommentar zum Bundesgesetz über die Ausländerinnen und Ausländer, Bern 2010, Art. 5 N. 3 f.).</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Aufgrund ihrer kosovarischen Staatsangehörigkeit unterliegt die Gesuchstellerin der Visumspflicht (vgl. Anhang I zur Verordnung [EG] Nr. 539/2001 [ABl. L 81 vom 21.03.2001 S. 1 7; zum vollständigen Quellennachweis vgl. Fussnote zu Art. 4 Abs. 1 VEV]). Bei der Prüfung der Einreisevoraussetzungen nach Art. 5 Abs. 1 SGK steht die Frage der gesicherten Wiederausreise im Vordergrund. Eine solche erachtet die Vorinstanz aufgrund der allgemeinen Situation im Heimatland und der persönlichen Verhältnisse der Gesuchstellerin als nicht genügend gesichert. Zur Einschätzung entsprechender Risiken sind sämtliche Umstände des konkreten Einzelfalles zu würdigen.</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Auch wenn Kosovo von der Wirtschafts- und Finanzkrise nicht in grösserem Umfang betroffen war, leben dort breite Teile der Bevölkerung in prekären wirtschaftlichen Verhältnissen. Nach offiziellen Angaben betrug die Arbeitslosenquote im ersten Halbjahr 2012 35,1%. Bei den 15- bis 25-Jährigen soll sie sogar bei 60% liegen, wobei diese Zahl aufgrund des grossen informellen Sektors zu relativieren ist. Die Einkommensverhältnisse bewegen sich auf konstant tiefem Niveau (das monatliche Durchschnittseinkommen betrug 2011 ca. 300 Euro) und die Hälfte aller Einwohner lebt an oder unter der Armutsgrenze. Überweisungen aus dem Ausland stellen eine wichtige Einkommensquelle und damit einen bedeutenden Wirtschaftsfaktor dar. Eine Folge dieser schwierigen Verhältnisse ist die verbreitete Bereitschaft zur Emigration (Quellen: www.auswaertiges-amt.de &gt; Reise- und Sicherheit &gt; Reise und Sicherheitshinweise: Länder A-Z &gt; Kosovo &gt; Wirtschaftspolitik, Stand Februar 2014; UNDP Kosovo Human Development Report 2012, vgl. insb. S. 1 ff., S. 11, S. 40, S. 96, www.kosovo.undp.org &gt; Research &amp; Publications &gt; Human Development &gt; Kosovo Human Development Report 2012. Beide Websites besucht im März 2014).</w:t>
      </w:r>
    </w:p>
    <w:p>
      <w:r>
        <w:rPr>
          <w:b/>
        </w:rPr>
        <w:t>E. 5.4</w:t>
      </w:r>
    </w:p>
    <w:p>
      <w:r>
        <w:t>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allgemeinen Erfahrungen können beim Entscheid über die Erteilung eines Visums mit berücksichtigt werden.</w:t>
      </w:r>
    </w:p>
    <w:p>
      <w:r>
        <w:rPr>
          <w:b/>
        </w:rPr>
        <w:t>E. 5.5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w:t>
      </w:r>
    </w:p>
    <w:p>
      <w:r>
        <w:rPr>
          <w:b/>
        </w:rPr>
        <w:t>E. 6.1</w:t>
      </w:r>
    </w:p>
    <w:p>
      <w:r>
        <w:t>Bei der Gesuchstellerin handelt es sich um eine beinahe 48-jährige Frau und Mutter eines Sohnes sowie zweier Töchter im Alter von 24, 21 bzw. 17 Jahren. Aus den Akten der kantonalen Migrationsbehörde zu schliessen lebt sie mit ihrem Sohn und den Töchtern sowie möglicherweise noch mit weiteren Angehörigen in familiärer Gemeinschaft. Damit können zwar gewisse Bindungen an das angestammte Umfeld angenommen werden. Die im Gesuchsverfahren hervorgehobenen familiären Verpflichtungen sind allerdings schon angesichts des fortgeschrittenen Alters des Sohnes und der Töchter stark zu relativieren. Dass diese nicht mehr ständiger Betreuung durch ihre Mutter bedürfen, ergibt sich nicht zuletzt auch aus der Dauer des geplanten Auslandaufenthaltes. Besondere Verpflichtungen sind bei der Gesuchstellerin auch in beruflicher Hinsicht nicht festzustellen. Alles in allem sind demnach bei ihr keine Verhältnisse auszumachen, welche die Prognose einer fristgerechten und anstandslosen Wiederausreise nach einem Besuchsaufenthalt begünstigen könnten.</w:t>
      </w:r>
    </w:p>
    <w:p>
      <w:r>
        <w:rPr>
          <w:b/>
        </w:rPr>
        <w:t>E. 6.2</w:t>
      </w:r>
    </w:p>
    <w:p>
      <w:r>
        <w:t>Gegen die Gewähr für eine fristgerechte Wiederausreise spricht, dass in den vergangenen Jahren nicht weniger als dreimal versucht wurde, die Gesuchstellerin im Familiennachzug in die Schweiz zu bringen (vgl. nachfolgend Ziff. 7.1.2).</w:t>
      </w:r>
    </w:p>
    <w:p>
      <w:r>
        <w:rPr>
          <w:b/>
        </w:rPr>
        <w:t>E. 6.3</w:t>
      </w:r>
    </w:p>
    <w:p>
      <w:r>
        <w:t>Vor dem allgemeinen und persönlichen Hintergrund durfte die Vorinstanz demnach davon ausgehen, dass keine hinreichende Gewähr für eine fristgerechte und anstandslose Wiederausreise der Gesuchstellerin nach einem Besuchsaufenthalt besteht. An dieser Beurteilung ändert die Tatsache nichts, dass der Beschwerdeführer die rechtzeitige Rückkehr der Gesuchstellerin wiederholt zugesichert hat. In seiner Eigenschaft als Gastgeber kann er zwar für gewisse finanzielle Risiken (Lebensunterhaltskosten während des Besuchsaufenthaltes, allfällige Kosten für Unfall und Krankheit sowie Rückreisekosten) Garantie leisten, nicht aber - mangels rechtlicher und faktischer Durchsetzbarkeit - für ein bestimmtes Verhalten des Gastes (vgl. BVGE 2009/27 E. 9).</w:t>
      </w:r>
    </w:p>
    <w:p>
      <w:r>
        <w:rPr>
          <w:b/>
        </w:rPr>
        <w:t>E. 6.4</w:t>
      </w:r>
    </w:p>
    <w:p>
      <w:r>
        <w:t>Fehlt es an einer genügenden Gewähr für die fristgerechte Wiederausreise, so kann ein sogenanntes "einheitliches Visum", das für den gesamten Schengen-Raum gilt, nicht erteilt werden.</w:t>
      </w:r>
    </w:p>
    <w:p>
      <w:r>
        <w:rPr>
          <w:b/>
        </w:rPr>
        <w:t>E. 7</w:t>
      </w:r>
    </w:p>
    <w:p>
      <w:r>
        <w:t>Bleibt zu prüfen, ob die Voraussetzungen für die Ausstellung eines Visums mit räumlich beschränkter Gültigkeit vorliegen (vgl. E. 4.5). Ein solches kann - wie erwähnt - erteilt werden, wenn ein Mitgliedstaat es aus humanitären Gründen, aus Gründen des nationalen Interesses oder aufgrund internationaler Verpflichtungen für erforderlich hält. Die damit einhergehende Abweichung von den allgemeinen Einreisevoraussetzungen erfordert eine sorgfältige Abwägung der sich gegenüberstehenden Interessen, die nicht leichthin zur Erteilung eines auf nationales Hoheitsgebiet beschränkten Visums führen darf (vgl. BVGE 2011/48 E. 6.1).</w:t>
      </w:r>
    </w:p>
    <w:p>
      <w:r>
        <w:rPr>
          <w:b/>
        </w:rPr>
        <w:t>E. 7.1</w:t>
      </w:r>
    </w:p>
    <w:p>
      <w:r>
        <w:t>Vorliegend kommt als völkerrechtliche Verpflichtung Art. 8 der Konvention vom 4. November 1950 zum Schutze der Menschenrechte und Grundfreiheiten (EMRK, SR 0.101) in Betracht.</w:t>
      </w:r>
    </w:p>
    <w:p>
      <w:r>
        <w:rPr>
          <w:b/>
        </w:rPr>
        <w:t>E. 7.1.1</w:t>
      </w:r>
    </w:p>
    <w:p>
      <w:r>
        <w:t>Art. 8 EMRK - inhaltlich deckungsgleich mit Art. 13 Abs. 1 der Bundesver­fassung der Schweizerischen Eidgenossenschaft vom 18. April 1999 (BV, SR 101) - dient dem Schutz des Familien- und Privatlebens, aus dem sich bei bestimmten familiären Konstellationen eine völkerrechtliche Verpflichtung zur Visumserteilung ableiten lässt (vgl. BVGE 2011/48 E. 6.3.2). Auf die Teilgarantie des Familienlebens können sich namentlich ausländische Personen berufen, die nahe Familienangehörige mit hinrei­chend gefestigtem Anwesenheitsrecht in der Schweiz haben, sofern das Familienleben intakt ist und gelebt wird. Wird ihnen die Einreise oder der Aufenthalt verweigert, so kann darin eine Verletzung von Art. 8 EMRK liegen. Die Konventionsgarantie schützt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(vgl. BGE 135 I 153 E. 2.1). Eine Interessenabwägung nach Art. 8 Abs. 2 EMRK erübrigt sich unter diesen Umständen.</w:t>
      </w:r>
    </w:p>
    <w:p>
      <w:r>
        <w:rPr>
          <w:b/>
        </w:rPr>
        <w:t>E. 7.1.2</w:t>
      </w:r>
    </w:p>
    <w:p>
      <w:r>
        <w:t>Die persönlichen und familiären Verhältnisse der Gesuchstellerin und des Beschwerdeführers präsentieren sich wie folgt: Der Beschwerdeführer (heute im Besitz einer Niederlassungsbewilligung) und die Gesuchstellerin sind bereits zum zweiten Mal miteinander verheiratet. Eine erste Ehe waren die beiden 1986 in ihrem Heimatland eingegangen. Daraus gingen drei Kinder hervor. Im Februar 1995 gelangte der Beschwerdeführer als Asylbewerber in die Schweiz; sein Asylgesuch wurde aber schon im Juli 1995 definitiv abgelehnt. Im November 1997 liessen sich die Eheleute im Heimatland scheiden. Im Juni 1998 gelangte der Beschwerdeführer erneut in die Schweiz und stellte ein zweites Asylgesuch, auf das die zuständige Behörde im Juli 1998 nicht eintrat. Im Oktober 1998 verheiratete sich der Beschwerdeführer mit einer Schweizer Bürgerin. Diese Ehe wurde im August 2004 durch Scheidung wieder aufgelöst. Nachdem er nachträglich die Übertragung des Sorgerechts für seine drei Kinder erwirkt hatte, ersuchte der Beschwerdeführer im Juni 2005 ein erstes Mal um Bewilligung deren Nachzugs in die Schweiz, was ihm von der zuständigen kantonalen Migrationsbehörde in einer Verfügung im Oktober 2005 verweigert wurde. Einem im Dezember 2006 vom Beschwerdeführer gestellten Wiedererwägungsgesuch war kein Erfolg beschieden (formloses Nichteintreten durch die kantonale Migrationsbehörde im Januar 2007). Im Oktober 2007 informierte der Beschwerdeführer die kantonale Migrationsbehörde darüber, dass er im Januar 2007 seine erste Ehefrau und Mutter seiner Kinder wieder geehelicht habe und ersuchte erneut um Familiennachzug; diesmal für seine Kinder und die Ehefrau. Dieses Gesuch wurde von der kantonalen Migrationsbehörde im August 2008 abgewiesen und deren Entscheid auf Beschwerde hin im Juli 2009 vom Regierungsrat des Kantons Zürich bestätigt. Bereits im November 2009 stellte der Beschwerdeführer bei der kantonalen Migrationsbehörde ein neues Gesuch um Familiennachzug; diesmal zugunsten der Ehefrau und der beiden jüngeren Kinder. Darauf trat die angegangene Behörde im Dezember 2009 nicht ein. Im Oktober 2010 erfolgte ein weiteres Gesuch; diesmal für die Ehefrau und das jüngste Kind. Die kantonale Migrationsbehörde trat auch auf dieses Gesuch nicht ein.</w:t>
      </w:r>
    </w:p>
    <w:p>
      <w:r>
        <w:rPr>
          <w:b/>
        </w:rPr>
        <w:t>E. 7.1.3</w:t>
      </w:r>
    </w:p>
    <w:p>
      <w:r>
        <w:t>In ihren Entscheiden vom 21. August 2008 bzw. vom 7. Juli 2009 kamen sowohl die kantonale Migrationsbehörde als auch der Regierungsrat als Beschwerdeinstanz gestützt auf entsprechende Aussagen des Beschwerdeführers zum Schluss, dass die erneute Heirat zwischen ihm und seiner erster Ehefrau nur deshalb eingegangen worden sei, um eine vermeintlich bessere Ausgangslage für den Nachzug der gemeinsamen Kinder in die Schweiz zu schaffen. Im Vordergrund stehe nicht die Wiederaufnahme der familiären Gemeinschaft, weshalb die Verweigerung des Familiennachzugs auch vor Art. 8 EMRK standhalte. Auf diese Besonderheiten ist der Beschwerdeführer im vorliegenden Verfahren nicht eingegangen. Er hat insbesondere nicht geltend gemacht, dass sich an den familiären Verhältnissen in der Zwischenzeit Wesentliches verändert hätte. Aus den Akten ergeben sich auch sonst keine Indizien für eine solche Änderung.</w:t>
      </w:r>
    </w:p>
    <w:p>
      <w:r>
        <w:rPr>
          <w:b/>
        </w:rPr>
        <w:t>E. 7.1.4</w:t>
      </w:r>
    </w:p>
    <w:p>
      <w:r>
        <w:t>Eine Berufung auf Familienleben gestützt auf die eingangs erwähnten Normen ist im Falle des Beschwerdeführers aus den genannten Gründen nicht zulässig.</w:t>
      </w:r>
    </w:p>
    <w:p>
      <w:r>
        <w:rPr>
          <w:b/>
        </w:rPr>
        <w:t>E. 7.2</w:t>
      </w:r>
    </w:p>
    <w:p>
      <w:r>
        <w:t>Andere Sachverhaltselemente, die beispielsweise unter dem Gesichtspunkt der humanitären Gründe die Erteilung eines Visums mit räumlich beschränkter Geltung rechtfertigen würden, wurden weder geltend gemacht noch ergeben sich solche aus den Akten.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