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C-20/2015 vom 14. November 2016</w:t>
      </w:r>
    </w:p>
    <w:p>
      <w:r>
        <w:t>Bundesverwaltungsgericht, 2016-11-14, DE</w:t>
      </w:r>
    </w:p>
    <w:p>
      <w:r>
        <w:rPr>
          <w:b/>
        </w:rPr>
        <w:t xml:space="preserve">Quelle: </w:t>
      </w:r>
      <w:r>
        <w:t>https://mcp.opencaselaw.ch/entscheid/bvger_C-20_2015</w:t>
      </w:r>
    </w:p>
    <w:p>
      <w:r>
        <w:t>FR: TAF C-20/2015 du 14 novembre 2016</w:t>
      </w:r>
    </w:p>
    <w:p>
      <w:r>
        <w:t>IT: TAF C-20/2015 del 14 novembre 2016</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sowie Art. 21 Abs. 1 und 2, Art. 50 Abs. 1 und Art. 52 Abs. 1 VwVG). Als Adressat des angefochtenen Einspracheentscheids vom 11. Dezember 2014 (act. 27)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1.4.1</w:t>
      </w:r>
    </w:p>
    <w:p>
      <w:r>
        <w:t>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Bezieht sich also die Beschwerde nur auf einzelne der durch die Verfügung bestimmten Rechtsverhältnisse, gehören die nicht beanstandeten - verfügungsweise festgelegten - Rechtsverhältnisse zwar wohl zum Anfechtungs-, aber nicht zum Streitgegenstand (BGE 125 V 413 E. 2a). Anfechtungs- und Streitgegenstand sind dann identisch, wenn die Verwaltungsverfügung insgesamt angefochten wird (BGE 131 V 164 E. 2.1; SVR 2010 BVG Nr. 14 S. 56 E. 4.1).</w:t>
      </w:r>
    </w:p>
    <w:p>
      <w:r>
        <w:rPr>
          <w:b/>
        </w:rPr>
        <w:t>E. 1.4.2</w:t>
      </w:r>
    </w:p>
    <w:p>
      <w:r>
        <w:t>Anfechtungsobjekt bildet der Einspracheentscheid vom 2. Dezember 2014. Mit Blick auf das Rechtsbegehren des Beschwerdeführers und die damit im Zusammenhang stehende Beschwerdebegründung sind vorliegend die angerechneten fünf Jahre Erziehungsgutschriften streitig und zu prüfen. Die nicht beanstandeten und mittels angefochtenem Einspracheentscheid vom 2. Dezember 2014 festgelegten (weiteren) Rentenberechnungsfaktoren (Rentenskala, Übergangsgutschriften, Aufwertungsfaktor) gehören zwar wohl zum Anfechtungs-, nicht aber zum Streitgegenstand.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2.2</w:t>
      </w:r>
    </w:p>
    <w:p>
      <w:r>
        <w:t>Die Frage, ob die SAK die Berechnung der Altersrente des Beschwerdeführers korrekt durchgeführt hat, beurteilt sich grundsätzlich nach den im November 2014 (Monat, welcher der Vollendung des gemäss Art. 21 Abs. 1 Bst. a AHVG massgebenden Altersjahres [65] folgt [Art. 21 Abs. 2 AHVG]) gültigen Bestimmungen des AHVG und der Verordnung vom 31. Oktober 1947 über die Alters- und Hinterlassenenversicherung (AHVV, SR 831.101) laut den Bestimmungen gemäss der 10. AHV-Revision (Übergangsbestimmungen der 10. AHV-Revision). Mit Blick auf den Zeitpunkt November 2014 ist überdies auch die Wegleitung des BSV über die Renten in der Eidgenössischen Alters-, Hinterlassenen- und Invalidenversicherung, gültig ab 1. Januar 2003, Stand 1. Januar 2014, anwendbar (im Folgenden: RWL; abrufbar unter www.bsv.admin.ch &gt; Praxis &gt; Vollzug &gt; AHV &gt; Grundlagen AHV &gt; Weisungen Renten S. 2 &gt; RWL [Details] &gt; Version 8; zuletzt besucht am 6. April 2016).</w:t>
      </w:r>
    </w:p>
    <w:p>
      <w:r>
        <w:rPr>
          <w:b/>
        </w:rPr>
        <w:t>E. 2.3</w:t>
      </w:r>
    </w:p>
    <w:p>
      <w:r>
        <w:t>Der Beschwerdeführer ist Schweizer Staatsangehöriger und wohnt in der Dominikanischen Republik. Da die Schweiz mit der Dominikanischen Republik kein Sozialversicherungsabkommen abgeschlossen hat, gelangt im vorliegenden Fall ausschliesslich schweizerisches Recht zur Anwendung (vgl. Urteile des BVGer C-1108/2011 vom 13. Februar 2012 E. 3.1, C-1396/2009 vom 17. August 2009 E. 2.1).</w:t>
      </w:r>
    </w:p>
    <w:p>
      <w:r>
        <w:rPr>
          <w:b/>
        </w:rPr>
        <w:t>E. 2.4</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2.5</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2.6</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RWL).</w:t>
      </w:r>
    </w:p>
    <w:p>
      <w:r>
        <w:rPr>
          <w:b/>
        </w:rPr>
        <w:t>E. 2.7</w:t>
      </w:r>
    </w:p>
    <w:p>
      <w:r>
        <w:t>Versicherten wird für die Jahre, in welchen sie die elterliche Gewalt über eines oder mehrere Kinder ausüben, die das 16. Altersjahr noch nicht erreicht haben, ab dem Kalenderjahr, das der Geburt des ersten Kindes folgt (Art. 52f Abs. 1 AHVV)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3.1</w:t>
      </w:r>
    </w:p>
    <w:p>
      <w:r>
        <w:t>Der Beschwerdeführer war seit dem 15. Mai 1972 bis am 22. September 1977 in erster Ehe verheiratet, am 1. September 1972 kam die gemeinsame Tochter S._______ zur Welt. Die damalige Ehefrau Z._______ ist am 8. August 1954 geboren. Grundsätzlich sind die Erziehungsgutschriften bei Ehegatten hälftig zu teilen. Da diese einem Elternteil erst am 1. Januar nach Vollendung des 20. Altersjahres angerechnet werden können (Art. 29bis Abs. 1 und Art. 29sexies Abs. 3 Satz 1 AHVG), hatte die damalige Ehegattin des Beschwerdeführers erst ab 1975 Anspruch auf hälftige Teilung der Erziehungsgutschrift, während diese in den beiden vorangehenden Jahren 1973 und 1974 ungeteilt dem Beschwerdeführer zustanden. Ab dem Kalenderjahr der Eheauflösung, vorliegend ab 1977 ging die gesamte Erziehungsgutschrift an die damalige Ehegattin des Beschwerdeführers, welche von nun an alleine die elterliche Gewalt ausübte (Art. 52f Abs. 2 AHVV). Somit kann sich der Beschwerdeführer für die erste Tochter S._______ zwei ganze Jahre (1973 und 1974) sowie zwei halbe Jahre (1975 und 1976) anrechnen lassen.</w:t>
      </w:r>
    </w:p>
    <w:p>
      <w:r>
        <w:rPr>
          <w:b/>
        </w:rPr>
        <w:t>E. 3.2</w:t>
      </w:r>
    </w:p>
    <w:p>
      <w:r>
        <w:t>In Bezug auf seine zweite Tochter A._______ konnte der Beschwerdeführer nicht nachweisen, dass er Inhaber der elterlichen Sorge war. Zudem trägt A._______ den Nachnamen ihrer Mutter. Da der Beschwerdeführer mit der Kindsmutter nicht verheiratet war, gilt nach Art. 298 Abs. 1 ZGB der Grundsatz, dass bei unverheirateten Eltern das Sorgerecht der Mutter zusteht. Folglich kann sich der Beschwerdeführer keine Erziehungsgutschrift anrechnen lassen.</w:t>
      </w:r>
    </w:p>
    <w:p>
      <w:r>
        <w:rPr>
          <w:b/>
        </w:rPr>
        <w:t>E. 3.3</w:t>
      </w:r>
    </w:p>
    <w:p>
      <w:r>
        <w:t>P._______, das dritte Kind des Beschwerdeführers wurde am 10. September 2009 geboren. Da im Jahre der Entstehung des Anspruchs keine Gutschriften angerechnet werden (Art. 52f Abs. 1 Satz 2 AHVV), können solche im vorliegenden Fall grundsätzlich erst ab dem Jahr 2010 berücksichtigt werden. Der Beschwerdeführer hat die Mutter T._______ seiner dritten Tochter erst am 8. Februar 2010 geheiratet. Damit kann er sich die halbe Erziehungsgutschrift gestützt auf die Ehe erst ab 2011 anrechnen lassen (Art. 29sexies Abs. 3 Satz 1 i.V.m. Art. 52f Abs. 1 Satz 2 AHVV). Für das Jahr 2010 gilt die Bestimmung für unverheiratete Eltern, wonach eine Teilung erfolgt, wenn die elterliche Sorge gemeinsam ausgeübt wird (Art. 52f Abs. 2bis), wovon vorliegend auszugehen ist. Damit stehen dem Beschwerdeführer ab 2010 bis am 31. Dezember vor Eintritt des Versicherungsfalles (Art. 29sexies Abs. 3 AHVG), der vorliegend am 1. November 2014 eingetreten ist, dh. bis 2013 vier halbe Erziehungsgutschriften zu. Gestützt auf seine jüngste Tochter P._______ hat der Beschwerdeführer folglich Anspruch auf zwei Jahre Erziehungsgutschrift. Die Vorinstanz kam bei ihrer Berechnung zum Zwischenergebnis von zwei Jahren und 10 Monaten, weil sie die Monate im Jahr 2014 vor Eintritt des Versicherungsfalles fälschlicherweise mitberechnet hat. Da diese zehn Monate schliesslich von der Vorinstanz nicht berücksichtigt wurden, ändert sich am Ergebnis letztendlich nichts.</w:t>
      </w:r>
    </w:p>
    <w:p>
      <w:r>
        <w:rPr>
          <w:b/>
        </w:rPr>
        <w:t>E. 3.4</w:t>
      </w:r>
    </w:p>
    <w:p>
      <w:r>
        <w:t>Damit können dem Beschwerdeführer insgesamt fünf volle Gutschriftsjahre angerechnet werden (drei Jahre von der ältesten Tochter S._______ und zwei Jahre von der jüngsten Tochter P._______). Folglich hat die Vorinstanz dem Beschwerdeführer zu Recht fünf Jahre Erziehungsgutschriften angerechnet und ihr Ergebnis ist nicht zu beanstanden. Da im Übrigen keine Fehler bei der Ermittlung des Rentenanspruchs des Beschwerdeführers geltend gemacht wurden und auch nicht ersichtlich sind, erweist sich die Beschwerde als unbegründet, weshalb sie abzuweisen ist.</w:t>
      </w:r>
    </w:p>
    <w:p>
      <w:r>
        <w:rPr>
          <w:b/>
        </w:rPr>
        <w:t>E. 4</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