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C-20/2010 vom 12. Oktober 2010</w:t>
      </w:r>
    </w:p>
    <w:p>
      <w:r>
        <w:t>Bundesverwaltungsgericht, 2010-10-12, DE</w:t>
      </w:r>
    </w:p>
    <w:p>
      <w:r>
        <w:rPr>
          <w:b/>
        </w:rPr>
        <w:t xml:space="preserve">Quelle: </w:t>
      </w:r>
      <w:r>
        <w:t>https://mcp.opencaselaw.ch/entscheid/bvger_C-20_2010</w:t>
      </w:r>
    </w:p>
    <w:p>
      <w:r>
        <w:t>FR: TAF C-20/2010 du 12 octobre 2010</w:t>
      </w:r>
    </w:p>
    <w:p>
      <w:r>
        <w:t>IT: TAF C-20/2010 del 12 ottobre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w:t>
      </w:r>
    </w:p>
    <w:p>
      <w:r>
        <w:rPr>
          <w:b/>
        </w:rPr>
        <w:t>E. 1.2</w:t>
      </w:r>
    </w:p>
    <w:p>
      <w:r>
        <w:t>Das Verfahren vor dem Bundesverwaltungsgericht richtet sich nach dem VwVG, soweit das Verwaltungsgerichtsgesetz keine abweichenden Bestimmungen vorsieht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sowie Urteil des Bundesverwaltungsgerichts C-135/2006 vom 20. Dezember 2007 E. 2 mit weiteren Hinweisen).</w:t>
      </w:r>
    </w:p>
    <w:p>
      <w:r>
        <w:rPr>
          <w:b/>
        </w:rPr>
        <w:t>E. 3</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2 zum AuG). Auf Verfahren, die vor diesem Zeitpunkt eingeleitet wurden, bleibt das bisherige materielle Recht anwendbar (Art. 126 Abs. 1 AuG; BVGE 2008/1 E. 2). Die angefochtene Verfügung erging vor dem Inkrafttreten des AuG; das entsprechende Verfahren wurde folglich vor diesem Zeitpunkt eingeleitet. Für die materielle Beurteilung der vorliegenden Beschwerde ist daher auf die altrechtliche Regelung, insbesondere auf Art. 13 Abs. 1 ANAG abzustellen.</w:t>
      </w:r>
    </w:p>
    <w:p>
      <w:r>
        <w:rPr>
          <w:b/>
        </w:rPr>
        <w:t>E. 4.1</w:t>
      </w:r>
    </w:p>
    <w:p>
      <w:r>
        <w:t>Gemäss Art. 13 Abs. 1 ANAG kann die eidgenössische Behörde über unerwünschte Ausländerinnen und Ausländer die Einreisesperre verhängen. Dies kann sie ferner, jedoch für höchstens drei Jahre, gegenüber ausländischen Personen, die sich grobe oder mehrfache Zuwiderhandlungen gegen fremdenpolizeiliche oder andere gesetzliche Bestimmungen und gestützt darauf erlassene behördliche Verfügungen haben zuschulden kommen lassen. Während der Einreisesperre ist der Ausländerin bzw. dem Ausländer jeder Grenzübertritt ohne ausdrückliche Ermächtigung der verfügenden Behörde untersagt.</w:t>
      </w:r>
    </w:p>
    <w:p>
      <w:r>
        <w:rPr>
          <w:b/>
        </w:rPr>
        <w:t>E. 4.2</w:t>
      </w:r>
    </w:p>
    <w:p>
      <w:r>
        <w:t>Die Einreisesperre ist ihrer Natur nach eine präventivpolizeiliche Administrativmassnahme. Sie will der Gefahr künftiger Störungen der öffentlichen Ordnung und Sicherheit sowie anderer unter den Schutz des Ausländerrechts fallender Polizeigüter begegnen, die von Ausländerinnen und Ausländer ausgehen können. Ob eine solche Gefahr besteht, lässt sich erfahrungsgemäss nur in Form einer Prognose beurteilen, die sich auf das bisherige Verhalten der ausländischen Person abstützt. In diesem Sinne gelten Ausländerinnen und Ausländer als "unerwünscht", deren Vorleben darauf schliessen lässt, dass sie nicht willens oder nicht fähig sind, sich in die geltende Ordnung einzufügen und deren Fernhaltung daher im öffentlichen Interesse liegt (vgl. BVGE 2008/24 E. 4.2 mit weiteren Hinweisen). Der Tatbestand der Unerwünschtheit wird typischerschweise durch die Strafffälligkeit einer ausländischen Person gesetzt.</w:t>
      </w:r>
    </w:p>
    <w:p>
      <w:r>
        <w:rPr>
          <w:b/>
        </w:rPr>
        <w:t>E. 5</w:t>
      </w:r>
    </w:p>
    <w:p>
      <w:r>
        <w:t>Der Beschwerdeführer hat zwischen August 2001 und Dezember 2003 eine erhebliche Menge Kokain (188.7 Gramm) verkauft. Bei seiner Festnahme und der am gleichen Tag durchgeführten Hausdurchsuchung wurden weitere 90.1 Gramm Kokain vorgefunden, wobei das Kantonsgericht im Strafurteil zugunsten der Aussagen des Beschwerdeführers davon ausging, dass davon noch 37.8 Gramm Kokain für den Verkauf oder die unentgeltliche Abgabe an Dritte bestimmt war. Dies ergab (vom Beschwerdeführer unbestritten) insgesamt eine Menge von 225.6 Gramm Kokain (entsprechend 79.3 Gramm reinem Kokain), welches er aufbewahrte, streckte, verkaufte, vermittelte, unentgeltlich abgab oder Anstalten hiezu traf. Hinzu kam der mehrfache Konsum von Kokain. Wegen des Verstosses gegen Art. 19 Ziff. 2 Bst. a (schwerer Fall) und Art. 19a Ziff. 1 des Betäubungsmittelgesetzes vom 3. Oktober 1951 (BetmG, SR 812.121) wurde er denn auch strafrechtlich zur Verantwortung gezogen und hat damit zweifellos in gravierender Weise gegen die Rechtsordnung verstossen. Allein schon wegen der begangenen Drogendelikte - ohne Mitberücksichtigung der früher begangenen Delikte (vgl. Bst. B des Sachverhalts) - ist der Beschwerdeführer somit als unerwünschter Ausländer im Sinne von Art. 13 Abs. 1 ANAG zu betrachten. Demnach kann die Frage, ob sein Aufenthalt in der Schweiz auch aus armenpolizeilichen Gründen unerwünscht ist (ausstehend sind offenbar noch Gerichtskosten von über Fr. 33'000.-), offengelassen werden.</w:t>
      </w:r>
    </w:p>
    <w:p>
      <w:r>
        <w:rPr>
          <w:b/>
        </w:rPr>
        <w:t>E. 6</w:t>
      </w:r>
    </w:p>
    <w:p>
      <w:r>
        <w:t>Es bleibt somit zu prüfen, ob die Massnahme in richtiger Ausübung des Ermessens ergangen und angemessen ist. Der Grundsatz der Verhältnismässigkeit steht dabei im Vordergrund (vgl. BGE 131 II 352 E. 3.3 mit weiteren Hinweisen). Unter diesem Gesichtspunkt ist die wertende Abwägung vorzunehmen zwischen dem öffentlichen Interesse an der Massnahme einerseits und den von der Massnahme beeinträchtigten privaten Interessen des Beschwerdeführers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Rz 613 ff.)</w:t>
      </w:r>
    </w:p>
    <w:p>
      <w:r>
        <w:rPr>
          <w:b/>
        </w:rPr>
        <w:t>E. 6.1</w:t>
      </w:r>
    </w:p>
    <w:p>
      <w:r>
        <w:t>Wie bereits erwähnt, hat der Beschwerdeführer durch sein Verhalten zu Klagen Anlass gegeben. Ein gewichtiges Interesse an seiner Fernhaltung ergibt sich deshalb ohne weiteres aus seiner Qualifizierung als unerwünschte Person. Auch wiegt sein Verschulden schwer. Nach den Feststellungen des Strafrichters (vgl. Strafurteil vom 28. Juni 2004 S. 21) hat er durch seine beträchtliche Delinquenz über einen längeren Zeitraum einen erheblichen kriminellen Willen an den Tag gelegt. Erschwerend fällt ins Gewicht, dass er zwar ebenfalls Drogen konsumierte, jedoch nicht in jenem Ausmass drogensüchtig war, dass sein Verhalten als durch einen suchtbedingten Beschaffungsdruck motiviert anzusehen ist. Er handelte überwiegend aus geldwerten Motiven und damit aus egoistischen Beweggründen. Zudem gehört Drogenhandel nebst Gewalt- und Sexualdelikten zu den Verhaltensweisen, die besonders hochrangige Rechtsgüter betreffen und die daher aus präventivpolizeilicher Sicht einen strengen Beurteilungsmassstab rechtfertigen (BGE 125 II 521 E. 4a/aa S. 526 f.; Urteil des Bundesgerichts 2A.308/2004 vom 4. Oktober 2004 E. 3.3; ALAIN WURZBURGER, La Jurisprudence récente du Tribunal fédéral en matière de police des étrangers, in: RDAF 53/1997 I, S. 42). Das bedeutet unter anderem, dass zum Schutz der Rechtsgenossen nur ein geringes Risiko des Rückfalls einer einschlägig vorbestraften Person in Kauf genommen werden darf (Urteil des Bundesverwaltungsgerichts C-5308/2007 vom 3. Dezember 2009 E. 6.4.3 mit Hinweis). Sowohl aus Gründen der Spezial- als auch der Generalprävention bestehen demnach gewichtige öffentliche Interessen an einer lang dauernden Fernhaltung des Beschwerdeführers.</w:t>
      </w:r>
    </w:p>
    <w:p>
      <w:r>
        <w:rPr>
          <w:b/>
        </w:rPr>
        <w:t>E. 6.2</w:t>
      </w:r>
    </w:p>
    <w:p>
      <w:r>
        <w:t>Bezüglich eines persönlichen Interesses an ungehinderten Einreisen bzw. Aufenthalten in der Schweiz oder in einem anderen Schengenstaat, verweist der Beschwerdeführer auf Beziehungen (Freunde, Patenkind) und eine Arbeitsstelle in Holland.</w:t>
      </w:r>
    </w:p>
    <w:p>
      <w:r>
        <w:rPr>
          <w:b/>
        </w:rPr>
        <w:t>E. 6.2.1</w:t>
      </w:r>
    </w:p>
    <w:p>
      <w:r>
        <w:t>Seit Inkrafttreten des Schengen-Assoziierungsabkommens im Dezember 2008 (vgl. Anhang 1 Ziffer 1 des AuG) werden Einreiseverbote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und erlangen deshalb für den gesamten Schengenraum Gültigkeit. Wenn eine Vertragspartei dieses Abkommens einem Drittausländer einen Aufenthaltstitel erteilen möchte, konsultiert sie gemäss Art. 25 SDÜ die ausschreibende Vertragspartei und berücksichtigt deren Interessen. Ein Aufenthaltstitel wird indessen nur bei Vorliegen von gewichtigen Gründen, insbesondere wegen humanitären Erwägungen, erteilt. Stellt eine Vertragspartei einen Aufenthaltstitel aus, so zieht die ausschreibende Vertragspartei den SIS-Eintrag (Ausschreibung zur Einreiseverweigerung) zurück. Gemäss den Ausführungen der Vorinstanz in ihrer Vernehmlassung wurde die Schweiz von keiner anderen Vertragspartei konsultiert. Solange im vorliegenden Fall Holland nicht an die Schweiz gelangt und um Rücknahme des SIS-Eintrags ersucht, ist davon auszugehen, dass kein wichtiger Grund vorliegt und der betreffende Vertragsstaat dem Beschwerdeführer gar keine Aufenthaltsbewilligung erteilen will. Demzufolge kann sich der Beschwerdeführer auch nicht auf ein diesbezügliches persönliches Interesse an der Aufhebung der Einreisesperre berufen.</w:t>
      </w:r>
    </w:p>
    <w:p>
      <w:r>
        <w:rPr>
          <w:b/>
        </w:rPr>
        <w:t>E. 6.2.2</w:t>
      </w:r>
    </w:p>
    <w:p>
      <w:r>
        <w:t>Im Übrigen verfügt der Beschwerdeführer über kein verwandtschaftliches Beziehungsnetz in der Schweiz. Allfällige freundschaftliche Kontakte oder die Beziehung zu seinem Patenkind kann er auch auf andere Weise als durch Einreisen in die Schweiz pflegen (briefliche oder telefonische Kontakte, Treffen im Heimatland des Beschwerdeführers). Ausserdem bestehen die Wirkungen der Einreisesperre nicht darin, dass ihm während deren Geltungsdauer Besuchsaufenthalte in der Schweiz schlichtweg untersagt wären. Es steht ihm vielmehr die Möglichkeit offen, aus wichtigen Gründen die zeitweilige Suspension der angefochtenen Fernhaltemassnahme zu beantragen (Art. 67 Abs. 4 AuG). Die Suspension wird aber praxisgemäss nur für eine kurze und klar begrenzte Zeit gewährt (vgl. Urteil des Bundesverwaltungsgerichts C-8229/2008 vom 8. Juli 2009 E. 6.4 mit Hinweisen).</w:t>
      </w:r>
    </w:p>
    <w:p>
      <w:r>
        <w:rPr>
          <w:b/>
        </w:rPr>
        <w:t>E. 6.3</w:t>
      </w:r>
    </w:p>
    <w:p>
      <w:r>
        <w:t>Eine wertende Gewichtung der sich entgegenstehenden Interessen führt das Bundesverwaltungsgericht somit zum Schluss, dass die auf unbestimmte Dauer verfügte Einreisesperre auch heute noch eine verhältnismässige und angemessene Massnahme zum Schutze der öffentlichen Sicherheit und Ordnung darstellt. Schliesslich bedeutet die fehlende Befristung nicht, dass die Massnahme für den Rest des Lebens Gültigkeit haben soll (vgl. BVGE 2008/24 E. 6.2). Eine zuverlässige Prognose, wie lange ein relevantes öffentliches Sicherheitsbedürfnis anzunehmen ist, lässt sich zum jetzigen Zeitpunkt nicht abgeben. Es ist vom Beschwerdeführer zu verlangen, sich weiterhin während geraumer Zeit im Ausland zu bewähren.</w:t>
      </w:r>
    </w:p>
    <w:p>
      <w:r>
        <w:rPr>
          <w:b/>
        </w:rPr>
        <w:t>E. 7</w:t>
      </w:r>
    </w:p>
    <w:p>
      <w:r>
        <w:t>Aus diesen Erwägungen ergibt sich, dass die angefochtene Verfügung im Lichte von Art. 49 VwVG rechtmässig ist. Die Beschwerde ist daher abzuweisen.</w:t>
      </w:r>
    </w:p>
    <w:p>
      <w:r>
        <w:rPr>
          <w:b/>
        </w:rPr>
        <w:t>E. 8</w:t>
      </w:r>
    </w:p>
    <w:p>
      <w:r>
        <w:t>Entsprechend dem Ausgang des Verfahrens sind dem Beschwerdeführer die Kosten aufzuerlegen (Art. 63 Abs. 1 VwVG). Diese sind auf Fr. 700.- festzusetzen (Art. 1, Art. 2 und Art. 3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