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C-209/2009 vom 16. Oktober 2009</w:t>
      </w:r>
    </w:p>
    <w:p>
      <w:r>
        <w:t>Bundesverwaltungsgericht, 2009-10-16, FR</w:t>
      </w:r>
    </w:p>
    <w:p>
      <w:r>
        <w:rPr>
          <w:b/>
        </w:rPr>
        <w:t xml:space="preserve">Quelle: </w:t>
      </w:r>
      <w:r>
        <w:t>https://mcp.opencaselaw.ch/entscheid/bvger_C-209_2009</w:t>
      </w:r>
    </w:p>
    <w:p>
      <w:r>
        <w:t>FR: TAF C-209/2009 du 16 octobre 2009</w:t>
      </w:r>
    </w:p>
    <w:p>
      <w:r>
        <w:t>IT: TAF C-209/2009 del 16 ottobre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ressortissants de Turquie, les intéressés sont soumis à l'obligation du visa.</w:t>
      </w:r>
    </w:p>
    <w:p>
      <w:r>
        <w:rPr>
          <w:b/>
        </w:rPr>
        <w:t>E. 7.1</w:t>
      </w:r>
    </w:p>
    <w:p>
      <w:r>
        <w:t>Même s'il est vrai que la situation économique, financière et sociale de ce pays s'améliore progressivement, il n'en demeure pas moins que des inégalités sociales et régionales persistent ; de plus, ce pays doit toujours faire face à des insuffisances dans les domaines des infrastructures, de l'éducation et de la santé. Quant au PIB par habitant, il ne s'élevait en 2008 qu'à USD 10'436.-, étant précisé que 20% de la population turque vivait sous le seuil de pauvreté (cf. site du Ministère allemand des affaires étrangères www.auswaertiges-amt.de &gt; Länder, Reisen und Sicherheit &gt; Türkei ; fr.wikipedia.org/wiki/ Économie_de_la_Turquie, page modifiée le 14 septembre 2009; visités le 14 octobre 2009). Dès lors, ces conditions économiques et sociales difficiles ne sont pas sans exercer une pression migratoire importante, cette tendance étant encore renforcée, comme l'expérience l'a démontré, lorsque la personne concernée peut s'appuyer à l'étranger sur un réseau social (parents, amis) préexistant, comme c'est le cas en l'occurrence. Ainsi, on ne saurait d'emblée écarter les craintes émises par l'ODM que les intéressés ne cherchent à prolonger leur séjour en Suisse au-delà de la validité du visa sollicité. Toutefois, la seule situation dans le pays d'origine ne suffit pas à conclure à l'absence de garantie quant à la sortie de Suisse à l'issue du séjour, toutes les particularités du cas devant être prises en considération.</w:t>
      </w:r>
    </w:p>
    <w:p>
      <w:r>
        <w:rPr>
          <w:b/>
        </w:rPr>
        <w:t>E. 7.2</w:t>
      </w:r>
    </w:p>
    <w:p>
      <w:r>
        <w:t>S'il faut reconnaître que B._______ et son épouse C._______, âgés respectivement de 59 et 57 ans, et leur petit-fils D._______, qui vient d'avoir treize ans, pourraient sans grande difficulté s'adapter à une nouvelle existence en Suisse, il apparaît toutefois, au vu de l'ensemble des circonstances du cas d'espèce, qu'une telle appréciation ne saurait en définitive être retenue.</w:t>
      </w:r>
    </w:p>
    <w:p>
      <w:r>
        <w:rPr>
          <w:b/>
        </w:rPr>
        <w:t>E. 7.3</w:t>
      </w:r>
    </w:p>
    <w:p>
      <w:r>
        <w:t>En ce qui concerne D._______, il s'impose de relever que, contrairement à sa mère et ses plus jeunes frères et soeurs, il n'a pas souhaité déposer une demande de regroupement familial pour rejoindre son père en Suisse en 2002, préférant rester avec ses grands-parents dans son pays d'origine, où il était scolarisé. Il ressort de son dossier qu'il n'est encore jamais venu en Suisse. Il est dès lors parfaitement compréhensible qu'il désire rendre visite à sa famille et découvrir l'endroit où ils vivent depuis plus de sept ans et où sa petite soeur est née en 2005. Il sied également de préciser que les intéressés ont insisté pour que les visas sollicités leur permettent de venir en Suisse durant les vacances scolaires, ayant même différé le dépôt de leur demande pour cette raison (mémoire de recours p. 3 et réplique p. 2) et que la durée (un mois) de leur venue paraît en adéquation avec cette situation. Il apparaît en outre que B._______ et C._______ vivent dans un milieu aisé en Turquie, où ils possèdent une maison et un terrain. L'intéressé touche une rente de retraite et ils bénéficient d'économies, grâce auxquelles ils ont notamment pu verser presque Fr. 50'000.- à leur fille et au recourant pour l'achat de leur logement en Suisse en mars 2009, soit une somme importante au vu du milieu socioéconomique dans lequel ils vivent. Aussi, il semble peu plausible que les invités envisagent, après un séjour d'un mois en Suisse, de renoncer à une existence confortable dans leur patrie, où ils vivent depuis des années et possèdent des liens sociaux étroits, pour s'exiler dans un environnement qui leur est totalement étranger.</w:t>
      </w:r>
    </w:p>
    <w:p>
      <w:r>
        <w:rPr>
          <w:b/>
        </w:rPr>
        <w:t>E. 7.4</w:t>
      </w:r>
    </w:p>
    <w:p>
      <w:r>
        <w:t>Au vu de ce qui précède, le Tribunal de céans ne décèle aucun indice permettant de mettre en doute la bonne foi des invités et la volonté de leurs hôtes de respecter le motif et la durée des visas sollicités.</w:t>
      </w:r>
    </w:p>
    <w:p>
      <w:r>
        <w:rPr>
          <w:b/>
        </w:rPr>
        <w:t>E. 8</w:t>
      </w:r>
    </w:p>
    <w:p>
      <w:r>
        <w:t>Le Tribunal peut dès lors se dispenser d'examiner le grief selon lequel l'ODM aurait violé le droit d'être entendu des intéressés en ne motivant pas suffisamment la décision attaquée.</w:t>
      </w:r>
    </w:p>
    <w:p>
      <w:r>
        <w:rPr>
          <w:b/>
        </w:rPr>
        <w:t>E. 9</w:t>
      </w:r>
    </w:p>
    <w:p>
      <w:r>
        <w:t>En conséquence, le recours est admis, la décision attaquée annulée et la cause renvoyée pour nouvel examen à l'ODM, lequel devra déterminer si les intéressés remplissent les conditions d'entrée posées par le code frontières Schengen ou s'il convient, cas échéant, de leur octroyer un visa à validité territoriale limitée en application de l'art. 2 al. 4 OEV.</w:t>
      </w:r>
    </w:p>
    <w:p>
      <w:r>
        <w:rPr>
          <w:b/>
        </w:rPr>
        <w:t>E. 10</w:t>
      </w:r>
    </w:p>
    <w:p>
      <w:r>
        <w:t>Obtenant gain de cause, le recourant n'a pas à supporter de frais de procédure (cf. art. 63 al. 1 a contrario et al. 3 PA). Le recourant a par ailleurs droit à des dépens pour les frais nécessaires et relativement élevés causés par le litige (cf. art. 7 FITAF). Au vu de l'ensemble des circonstances du cas, de l'importance de l'affaire, du degré de difficulté de cette dernière, de l'ampleur du travail accompli par le mandataire, le Tribunal estime, au regard des art. 8ss FITAF, que le versement d'un montant de Fr. 900.-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