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C-2092/2006 vom 5. Dezember 2007</w:t>
      </w:r>
    </w:p>
    <w:p>
      <w:r>
        <w:t>Bundesverwaltungsgericht, 2007-12-05, DE</w:t>
      </w:r>
    </w:p>
    <w:p>
      <w:r>
        <w:rPr>
          <w:b/>
        </w:rPr>
        <w:t xml:space="preserve">Quelle: </w:t>
      </w:r>
      <w:r>
        <w:t>https://mcp.opencaselaw.ch/entscheid/bvger_C-2092_2006</w:t>
      </w:r>
    </w:p>
    <w:p>
      <w:r>
        <w:t>FR: TAF C-2092/2006 du 5 décembre 2007</w:t>
      </w:r>
    </w:p>
    <w:p>
      <w:r>
        <w:t>IT: TAF C-2092/2006 del 5 dicembre 2007</w:t>
      </w:r>
    </w:p>
    <w:p>
      <w:pPr>
        <w:pStyle w:val="Heading2"/>
      </w:pPr>
      <w:r>
        <w:t>Regeste</w:t>
      </w:r>
    </w:p>
    <w:p>
      <w:r>
        <w:t>Werbung</w:t>
      </w:r>
    </w:p>
    <w:p>
      <w:pPr>
        <w:pStyle w:val="Heading2"/>
      </w:pPr>
      <w:r>
        <w:t>Erwägungen</w:t>
      </w:r>
    </w:p>
    <w:p>
      <w:r>
        <w:rPr>
          <w:b/>
        </w:rPr>
        <w:t>E. 1</w:t>
      </w:r>
    </w:p>
    <w:p>
      <w:r>
        <w:t>Zu beurteilen ist die Beschwerde vom 13. November 2006 gegen die Verfügung des Instituts vom 11. Oktober 2006 betreffend Fachwerbung für das Präparat Topamax.</w:t>
      </w:r>
    </w:p>
    <w:p>
      <w:r>
        <w:rPr>
          <w:b/>
        </w:rPr>
        <w:t>E. 1.1</w:t>
      </w:r>
    </w:p>
    <w:p>
      <w:r>
        <w:t>Gemäss Art. 85 Abs. 1 HMG war die REKO HM bis zum 31. Dezember 2006 zuständig zur Beurteilung von Beschwerden gegen Verfügungen des Instituts, die gestützt auf das Heilmittelgesetz und seine Ausführungserlasse ergingen. Mit Inkrafttreten des VGG wurde diese Bestimmung aufgehoben (Ziff. 89 Anhang VGG). 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1.2</w:t>
      </w:r>
    </w:p>
    <w:p>
      <w:r>
        <w:t>Die Beschwerdeführerin hat am vorinstanzlichen Verfahren teilgenommen, ist als Adressatin durch die angefochtene Verfügung ohne Zweifel besonders berührt und hat an deren hauptsächlich beantragten Aufhebung ein schutzwürdiges Interesse (Art. 48 Abs. 1 VwVG, in der Fassung vom 17. Juni 2005). Auf die frist- und formgerecht eingereichte Beschwerde ist daher einzutreten, soweit im Hauptbegehren die Aufhebung der angefochtenen Verfügung verlangt wird. Eventualiter beantragt die Beschwerdeführerin allerdings, es sei ihr zu gestatten, Unterlagen über nicht zugelassene Indikationen und Dosierungen, die nicht Werbezwecken dienen und die zur Beantwortung einer konkreten Anfrage zu einem Arzneimittel erforderlich sind, zu vermitteln. Gegenstand des vorinstanzlichen Verfahrens war die werberechtliche Beurteilung der Abgabe bestimmter Unterlagen zum Arzneimittel Topamax. Mit dem Eventualbegehren weitet die Beschwerdeführerin den Streitgegenstand in unzulässiger Weise aus, indem sie um Erteilung der Bewilligung zur Verwendung irgendwelcher Unterlagen über nicht zugelassene Indikationen und Dosierungen von irgendwelchen Arzneimitteln ersucht und die Frage beantwortet haben will, ob die Verwendung solcher Unterlagen für andere als Werbezwecke - also ausserhalb des Arzneimittelwerberechts - zulässig ist. Infolge Ausweitung des Streitgegenstandes kann auf das Eventualbegehren nicht eingetreten werden.</w:t>
      </w:r>
    </w:p>
    <w:p>
      <w:r>
        <w:rPr>
          <w:b/>
        </w:rPr>
        <w:t>E. 2</w:t>
      </w:r>
    </w:p>
    <w:p>
      <w:r>
        <w:t>Das Verfahren vor dem Bundesverwaltungsgericht richtet sich im Wesentlichen nach den Vorschriften des VwVG und des VGG, wobei das neue, am 1. Januar 2007 in Kraft getretene Verfahrensrecht sofort anwendbar ist (vgl. Art. 53 Abs. 2 VGG).</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rügen (Art. 49 VwVG). 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 Minh Son Nguyen (Hrsg.), Mélanges en l'honneur de Pierre Moor, Bern 2005, S. 326f., Beatrice Wagner Pfeiffer, Zum Verhältnis von fachtechnischer Beurteilung und rechtlicher Würdigung im Verwaltungsverfahren, in: ZSR, NF 116, I. Halbband,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Zu prüfen ist vorab, ob das Institut das Verhalten der Beschwerdeführerin zu Recht als unzulässige Fachwerbung qualifiziert hat.</w:t>
      </w:r>
    </w:p>
    <w:p>
      <w:r>
        <w:rPr>
          <w:b/>
        </w:rPr>
        <w:t>E. 3.1</w:t>
      </w:r>
    </w:p>
    <w:p>
      <w:r>
        <w:t>Als Arzneimittelwerbung gelten gemäss Art. 2 Abs. 1 Bst. a AWV alle Massnahmen zur Information, Marktbearbeitung und Schaffung von Anreizen, welche zum Ziel haben, die Verschreibung, die Abgabe, den Verkauf, den Verbrauch oder die Anwendung von Arzneimitteln zu fördern. Nach der schweizerischen Rechtsprechung ist eine Tätigkeit dann als Arzneimittelwerbung zu qualifizieren, wenn eine Vielzahl von Personen durch bestimmte Massnahmen beeinflusst wird resp. wenn Anreize geschaffen werden, die dazu führen sollen, dass diese Personen ihr Konsumverhalten ändern (vgl. VPB 67.134). Selbst die blosse Information über Anwendungsmöglichkeiten von Arzneimitteln stellt eine Werbung dar, wenn sie bestimmt und geeignet ist, das Konsumverhalten zu beeinflussen (Entscheid der REKO HM vom 15. Dezember 2005 i.S. P. AG [HM 05.116]; Ursula Eggenberger Stöckli, Arzneimittel-Werbeverordnung, Bern 2006, N. 10 f. zu Art. 2 AWV). Vom Geltungsbereich der AWV ausgenommen sind allerdings Informationen allgemeiner Art über die Gesundheit oder über Krankheiten, die sich weder direkt noch indirekt auf bestimmte Arzneimittel beziehen (vgl. Art. 1 Abs. 2 Bst. c AWV). Allerdings kann daraus nicht geschlossen werden, dass die Information, die einen Bezug zu einem bestimmten Medikament schafft, stets als Werbung zu gelten hat. Wo die Grenze zwischen erlaubter Information allgemeiner Art und der unzulässigen Information mit Werbecharakter verläuft, lässt sich nicht in abstrakter Weise bestimmen, sondern hängt von den gesamten Umständen des Einzelfalls ab (vgl. BGE vom 13. Juni 2007 [2A.787/2006], E. 5; Eggenberger Stöckli, a.a.O., N. 16 zu Art. 2 AWV).</w:t>
      </w:r>
    </w:p>
    <w:p>
      <w:r>
        <w:rPr>
          <w:b/>
        </w:rPr>
        <w:t>E. 3.2</w:t>
      </w:r>
    </w:p>
    <w:p>
      <w:r>
        <w:t>Gemäss Art. 31 HMG ist Werbung grundsätzlich für alle Arten von Arzneimitteln zulässig, sofern sie sich ausschliesslich an Fachpersonen richtet (Fachwerbung, Art. 31 Abs. 1 Bst. a HMG). Unzulässig ist dagegen jede Werbung, die irreführend ist oder der öffentlichen Ordnung und den guten Sitten widerspricht (Art. 32 Abs. 1 Bst. a HMG) sowie Werbung, die zu einem übermässigen, missbräuchlichen oder unzweckmässigen Einsatz von Arzneimitteln verleiten kann (Art. 32 Abs. 1 Bst. b HMG). Arzneimittelwerbung darf mithin die Adressaten nicht täuschen und muss sachlich und nüchtern bleiben. Eine detaillierte Regelung der Fach- und Publikumswerbung für verwendungsfertige Arzneimittel der Human- und der Veterinärmedizin findet sich in der AWV. Die im vorliegenden Verfahren zur Diskussion stehende Fachwerbung ist in den Art. 3 ff. AWV geregelt. Gemäss Art. 4 AWV gelten unter anderem Werbung anlässlich von Promotionsveranstaltungen oder wissenschaftlichen Kongressen (Art. 4 Bst. d AWV) sowie Besuche von Arzneimittelvertretern und Arzneimittelvertreterinnen (Art. 4 Bst. h AWV) als Fachwerbung. Sämtliche Angaben in der Fachwerbung müssen im Einklang mit der vom Institut zuletzt genehmigten Arzneimittelinformation stehen; insbesondere dürfen nur vom Institut genehmigte Indikationen und Anwendungsmöglichkeiten beworben werden (Art. 5 Abs. 1 AWV). Ist die Arzneimittelinformation bereits genehmigt, aber noch nicht veröffentlicht, so muss die Zulassungsinhaberin der Fachwerbung den vollständigen Inhalt der vom Institut zuletzt genehmigten Arzneimittelinformation beifügen (Art. 5 Abs. 2 AWV). Die Fachwerbung muss in ihren Aussagen genau, ausgewoben, sachlich zutreffend und belegbar sein. Die Aussagen dürfen nicht irreführend sein. Belege für wissenschaftlich-medizinische Aussagen müssen den Fachpersonen auf Anfrage zur Verfügung gestellt werden (Art. 5 Abs. 3 AWV). Im Weiteren müssen die Werbeaussagen auf dem aktuellen Stand der wissenschaftlichen Erkenntnis beruhen und diesen widerspiegeln. Sie dürfen nur auf klinische Versuche Bezug nehmen, die nach den Anforderungen der Guten Praxis der Klinischen Versuche (GPKV) durchgeführt und publiziert oder zur Publikation angenommen sind. Diese Publikationen müssen wortgetreu, vollständig und mit genauer Quelle zitiert werden. In der Fachwerbung ist darauf hinzuweisen, dass die Fachpersonen beim Unternehmen eine vollständige Kopie des Prüfungsberichts anfordern können (Art. 5 Abs. 5 AWV). Die in Art. 5 AWV genannten Anforderungen an die Fachwerbung sind kumulativ zu verstehen, da nur so sichergestellt werden kann, dass die Vorgaben von Art. 32 Abs. 1 HMG umfassend eingehalten werden. Insbesondere ist zu fordern, dass sich die Fachwerbung auch dann an den Rahmen der genehmigten Arzneimittelinformation und der zugelassenen Indikationen hält, wenn neue wissenschaftliche Erkenntnisse andere Anwendungen nahe legen würden. Zulassungsinhaberinnen sind verpflichtet, die Arzneimittelinformation dem aktuellen Stand von Wissenschaft und Technik sowie neuen Ereignissen und Bewertungen anzupassen und dem Institut vorzulegen (Art. 16 der Verordnung über die Arzneimittel [VAM, SR 812.212.21]). Ergeben Abklärungen des Instituts, dass die Zulassungsinhaberinnen ihrer Anpassungspflicht nicht nachgekommen sind, so kann es die erforderliche Änderung der Information von Amtes wegen anordnen (vgl. den Entscheid der REKO HM vom 17. Oktober 2002 i.S. D. AG [HM 02.002] E. 3.a). Solange aber eine Anpassung der Arzneimittelinformation bzw. Indikation noch nicht erfolgt ist, darf für ein Arzneimittel nicht mit neuen, in der der Arzneimittelinformation nicht enthaltenen und damit der Zulassung widersprechenden wissenschaftlichen Erkenntnissen geworben werden (vgl. Entscheid der REKO HM vom 7. September 2005 i.S. Z. AG [05.109] E. 3.5; vgl. auch Eggenberger Stöckli, a.a.O., N. 14 zu Art. 5 AWV).</w:t>
      </w:r>
    </w:p>
    <w:p>
      <w:r>
        <w:rPr>
          <w:b/>
        </w:rPr>
        <w:t>E. 3.3</w:t>
      </w:r>
    </w:p>
    <w:p>
      <w:r>
        <w:t>Unbestritten im vorliegenden Verfahren ist, dass Aussendienstmitarbeiter der Beschwerdeführerin anlässlich von Weiterbildungsveranstaltungen Unterlagen zu dem von ihr vertriebenen Präparat Topamax abgegeben haben. Ebenso ist unbestritten, dass dieses Präparat zugelassen ist einerseits zur Behandlung von Epilepsie (als Monotherapie oder als Zusatztherapie) und andererseits zur Migräneprophylaxe bei Erwachsenen und Jugendlichen über 16 Jahren, nicht aber zur Behandlung von Suchtkrankheiten. Im Weiteren wurden die fraglichen Unterlagen zum Präparat Topamax resp. zum darin enthaltenen Wirkstoff Topiramat lediglich an Fachpersonen abgegeben, so dass sich die Prüfung des Bundesverwaltungsgerichts im Wesentlichen auf die Frage beschränkt, ob das Vorgehen der Beschwerdeführerin eine unzulässige Fachwerbung darstellt oder nicht.</w:t>
      </w:r>
    </w:p>
    <w:p>
      <w:r>
        <w:rPr>
          <w:b/>
        </w:rPr>
        <w:t>E. 3.4</w:t>
      </w:r>
    </w:p>
    <w:p>
      <w:r>
        <w:t>Die Beschwerdeführerin macht geltend, sie habe keine Fachwerbung betrieben, vielmehr seien die Unterlagen nur in Einzelfällen und jeweils nur im Rahmen der Antwort auf eine vorgängige Frage einer Fachperson anlässlich von Weiterbildungsveranstaltungen in Kliniken abgegeben worden - unter Hinweis darauf, dass die fraglichen Indikationen und Dosierungen vom Institut nicht zugelassen seien.</w:t>
      </w:r>
    </w:p>
    <w:p>
      <w:r>
        <w:rPr>
          <w:b/>
        </w:rPr>
        <w:t>E. 3.4.1</w:t>
      </w:r>
    </w:p>
    <w:p>
      <w:r>
        <w:t>Den Akten ist zu entnehmen, dass die Beschwerdeführerin in verschiedenen psychiatrischen Kliniken der Westschweiz Veranstaltungen für Fachpersonen durchgeführt hat, anlässlich welcher der Einsatz der Präparate Topamax und Risperdal dargestellt worden ist. Diese beiden Arzneimittel sind auf die Beschwerdeführerin zugelassen und werden in der psychiatrischen Praxis eingesetzt. Allein schon aufgrund der unbestrittenen Tatsache, dass anlässlich der fraglichen Veranstaltungen bestimmte Arzneimittel vorgestellt wurden, liegt es nahe, im Vorgehen der Beschwerdeführerin eine Arzneimittelwerbung zu sehen, handelt es sich doch keineswegs um die Vermittlung allgemeiner Informationen über die Gesundheit oder über Krankheiten, die gemäss Art. 1 Abs. 2 Bst. c AWV vom Geltungsbereich des Arzneimittelwerberechts ausgenommen wäre. Nach Auffassung des Bundesverwaltungsgerichts ist es zudem offensichtlich, dass die Veranstaltungen der Marktbearbeitung bzw. der Schaffung von Anreizen dienten und bezweckten, die Nachfrage nach den genannten Arzneimitteln zu fördern (vgl. Art. 2 Bst. a AWV). Hierfür spricht insbesondere, dass die Veranstaltungen von der Beschwerdeführerin selbst organisiert worden sind (laut Replikbeilagen "séance de formation continue de Janssen-Cilag SA"), dass sie in ausgewählten psychiatrischen Kliniken durchgeführt worden sind, wo die fraglichen Arzneimittel eingesetzt werden können, dass einzig Referate zu den Präparaten Topamax und Risperdal gehalten worden sind (vgl. Replikbeilagen) und dass Informationsmaterial zum Präparat Topamax abgegeben worden ist. Die als Weiterbildungs- bzw. Fortbildungsveranstaltungen bezeichneten Anlässe sind ohne Zweifel als Promotionsveranstaltungen zu qualifizieren, die der Werbung für die fraglichen Produkte dienten (Art. 4 Bst. d AWV).</w:t>
      </w:r>
    </w:p>
    <w:p>
      <w:r>
        <w:rPr>
          <w:b/>
        </w:rPr>
        <w:t>E. 3.4.2</w:t>
      </w:r>
    </w:p>
    <w:p>
      <w:r>
        <w:t>Die von der Beschwerdeführerin abgegebenen, im vorliegenden Verfahren zu beurteilenden Unterlagen beziehen sich auf den Einsatz des Präparates Topamax zur akuten Detoxifikation bei Suchtkranken. Die abgegebenen Mappen beinhalten einerseits wissenschaftliche Beiträge zum Einsatz von Topiramat bei Suchterkrankungen und andererseits Dosierungsschemata mit konkreten Dosierungsvorschlägen zu "Sevrage Benzodiazépines", "Sevrage Méthadone" und "Sevrage Héroine/Alcool" für einen Zeitraum von mehreren Tagen. Da Suchtkrankheiten vor allem in psychiatrischen Kliniken behandelt werden, und diese Kliniken - wie die Beschwerdeführerin selber ausführt - offenbar darauf angewiesen sind, sich angesichts der beschränkten Zahl von zugelassenen Arzneimitteln für die Behandlung von Suchtkranken auch auf Anwendungen im nicht zugelassenen Bereich zu stützten, hat die Beschwerdeführerin mit der Abgabe der fraglichen Unterlagen den Anreiz geschaffen, das Präparat Topamax in eben diesem Bereich einzusetzen. Die Dosierungsblätter für die verschiedenen Suchtbereiche sind so konzipiert, dass das Präparat umgehend eingesetzt werden kann. So sind in den Tabellen für den jeweiligen Suchtbereich mehrere Spalten vorhanden, denen zu entnehmen ist, welche Menge des Präparates zu welcher Tageszeit und über welchen Zeitraum eingenommen werden muss. Im Weiteren ist je eine Spalte für den Vermerk, ob das Medikament verabreicht wurde, sowie für das Visum der verabreichenden Person vorhanden. Auch wenn die Beschwerdeführerin geltend macht, die Abgabe der Dokumentationsmappe sei lediglich im Anschluss an konkrete Fragen von Fachpersonen zum Bereich "Einsatz von Topiramat/Topamax im Entzug bei stationären Patienten" erfolgt, habe also reinen Informationsbedürfnissen gedient, ist doch zu bemerken, dass die Dokumentationsmappen bereits im Voraus zusammengestellt worden waren - im Hinblick darauf, dass in psychiatrischen Kliniken, die auch Suchtkranke behandeln, das Interesse an einem Arzneimittel zur Behandlung von Suchtkrankheiten vorhanden ist. Da - wie in der Beschwerdeschrift bestätigt wird - damit zu rechnen war, dass an den Promotionsveranstaltungen Fragen zum Bereich "Einsatz von Topiramat/Topamax im Entzug bei stationären Patienten" gestellt werden würden, kann davon ausgegangen werden, dass nicht nur die Veranstaltungen selbst, sondern insbesondere auch die Abgabe der fraglichen Mappen und Schemata der Bewerbung des Arzneimittels Topamax dienten.</w:t>
      </w:r>
    </w:p>
    <w:p>
      <w:r>
        <w:rPr>
          <w:b/>
        </w:rPr>
        <w:t>E. 3.4.3</w:t>
      </w:r>
    </w:p>
    <w:p>
      <w:r>
        <w:t>Die Beschwerdeführerin hat in Kenntnis der Tatsache, dass das Präparat Topamax für die Behandlung im Bereich Suchtkrankheiten nicht zugelassen ist, Unterlagen und insbesondere konkrete Dosierungsschemata speziell für den Einsatz des Präparates in diesen Indikationen abgegeben. Die Beschwerdeführerin macht geltend, die Fachpersonen seien an den Veranstaltungen mündlich auf den sogenannten "off label use" aufmerksam gemacht worden, was durch Bestätigungen von Veranstaltungsteilnehmern belegt wird (vgl. Replikbeilagen). Für die Qualifikation der Abgabe der fraglichen Unterlagen als Werbemassnahme ist es ohne Belang, ob ein Hinweis auf den "off label use" erfolgt ist, da der Absatz auch durch einen vermehrtem Einsatz des Präparates ausserhalb der zugelassenen Indikationen gesteigert werden kann - woran auch ein Hinweis auf den "off label use" nichts zu ändern vermag. Es kann keineswegs davon ausgegangen werden, dass spezialisierte Fachpersonen auf den "off label use" eines Präparates verzichten, wenn in den fraglichen Indikationen nur wenig erfolgsversprechende Alternativen zur Verfügung stehen, wie dies die Beschwerdeführerin geltend macht. Mit den abgegebenen Informationen wurde bei den Empfängern durchaus ein Anreiz geschaffen, in eigener ärztlicher Verantwortung das Präparat Topamax auch in nicht zugelassenen Indikationen einzusetzen. Entscheidend ist ohnehin nicht, ob eine Werbemassnahme effektiv zu einer Absatzsteigerung führt, da auch erfolglose Werbung Werbung darstellt (vgl. BGE vom 10. August 2006 [2A.63/2006], E. 3.7; Eggenberger Stöckli, a.a.O., N. 24 zu Art. 2 AWV). Auch aus dieser Sicht ist die Abgabe der fraglichen Mappen und Schemata als Werbemassnahme zu qualifizieren.</w:t>
      </w:r>
    </w:p>
    <w:p>
      <w:r>
        <w:rPr>
          <w:b/>
        </w:rPr>
        <w:t>E. 3.4.4</w:t>
      </w:r>
    </w:p>
    <w:p>
      <w:r>
        <w:t>Die Beschwerdeführerin betont allerdings, die Unterlagen zum "off label use" seien nur auf entsprechende Anfrage hin einzelnen Teilnehmern der Veranstaltungen abgegeben worden. Es habe keine breite Distribution stattgefunden, was ausschliesse, das Vorgehen als Werbung zu qualifizieren. Es ist erstellt, dass anlässlich der Promotionsveranstaltungen, die mehreren Kliniken stattfanden, die fraglichen Informationsmappen jeweils an mehrere Teilnehmer abgegeben wurden (vgl. Replikbeilagen). Damit wurde ein spezialisierter Adressatenkreis angesprochen und mit vorbereiteten Unterlagen bedient, was im Bereiche der Fachwerbung ein durchaus üblicher Vorgang darstellt (etwa bei Besuchen von Arzneimittelvertretern) und offenbar durchaus absatzfördernd wirkt - umso mehr, als die mit den Unterlagen bedienten Ärzte und Ärztinnen teilweise leitende Stellung in den Kliniken haben (vgl. Replikbeilagen 1 bis 3 und 5). Auch wenn die Unterlagen anlässlich der Promotionsveranstaltungen nur auf konkrete Frage hin abgegeben worden sein sollten, stellt dieses Vorgehen eine Werbung anlässlich einer Promotionsveranstaltung dar (Art. 4 Bst. d AWV).</w:t>
      </w:r>
    </w:p>
    <w:p>
      <w:r>
        <w:rPr>
          <w:b/>
        </w:rPr>
        <w:t>E. 3.4.5</w:t>
      </w:r>
    </w:p>
    <w:p>
      <w:r>
        <w:t>Das Vorgehen der Beschwerdeführerin hat damit eindeutig bezweckt, die Anwendung des Präparates Topamax in vom Institut nicht genehmigten Indikationen zu fördern. Es ist demnach unter Berücksichtigung sämtlicher relevanter Umstände als Fachwerbung zu qualifizieren.</w:t>
      </w:r>
    </w:p>
    <w:p>
      <w:r>
        <w:rPr>
          <w:b/>
        </w:rPr>
        <w:t>E. 3.5</w:t>
      </w:r>
    </w:p>
    <w:p>
      <w:r>
        <w:t>Die Beschwerdeführerin weist allerdings rechtsvergleichend auf die Richtlinie 2001/83/EG des europäischen Parlaments und des Rates vom 6. November 2001 zur Schaffung eines Gemeinschaftskodexes für Humunarzneimittel für Humanarzneimittel (ABl. L 311 vom 28.11.2001 S. 67 [im Folgenden: Richtlinie 2001/83/EG]) hin und hält fest, dass der Begriff Werbung in Art. 86 der Richtlinie 2001/83/EG fast wörtlich mit der Definition von Werbung in Art. 2 AWV übereinstimme. Nach europäischem Recht gälten jedoch Unterlagen, die zur Beantwortung einer Anfrage dienten und die dem Fragesteller vermittelt würden, nicht als Werbung. Wie die Beschwerdeführerin zu Recht ausführt, beabsichtigte der Gesetzgeber, das HMG europakompatibel auszugestalten und eine mit dem Recht der EU möglichst gleichwertige Gesetzgebung zu schaffen. Hieraus kann aber nicht abgeleitet werden, dass die schweizerischen Vorschriften den gleichen Gehalt aufweisen müssten, wie die für die Schweiz nicht unmittelbar anwendbaren EU-Regelungen. Vielmehr ist das schweizerische Recht autonom auszulegen.</w:t>
      </w:r>
    </w:p>
    <w:p>
      <w:r>
        <w:rPr>
          <w:b/>
        </w:rPr>
        <w:t>E. 3.6</w:t>
      </w:r>
    </w:p>
    <w:p>
      <w:r>
        <w:t>Da die Beschwerdeführerin mit ihren Informationen für Indikationen und Anwendungsmöglichkeiten, die nicht im Einklang mit der vom Institut zuletzt genehmigten Arzneimittelinformation stehen, Fachwerbung im Sinne des Heilmittelrechts betreibt, verstösst sie gegen Art. 5 Abs. 1 AWV. Die Werbung betrifft eine in der Schweiz nicht zugelassene Verwendung des Arzneimittels Topamax und ist geeignet, zu seinem unzweckmässigen Einsatz zu verleiten (Art. 32 Abs. 1 Bst. b und c HMG).</w:t>
      </w:r>
    </w:p>
    <w:p>
      <w:r>
        <w:rPr>
          <w:b/>
        </w:rPr>
        <w:t>E. 4</w:t>
      </w:r>
    </w:p>
    <w:p>
      <w:r>
        <w:t>Die Beschwerdeführerin macht geltend, das in der angefochtenen Verfügung ausgesprochene Verbot der Bewerbung des Arzneimittels Topamax in der Behandlung von Suchtkrankheiten und die weiteren vom Institut angeordneten Massnahmen verfügten über keine ausreichende Rechtsgrundlage, seien unzweckmässig und nicht verhältnismässig.</w:t>
      </w:r>
    </w:p>
    <w:p>
      <w:r>
        <w:rPr>
          <w:b/>
        </w:rPr>
        <w:t>E. 4.1</w:t>
      </w:r>
    </w:p>
    <w:p>
      <w:r>
        <w:t>Gemäss Art. 31 Abs. 3 HMG kann der Bundesrat zum Schutz der Gesundheit und zum Schutz gegen Täuschung die Werbung für bestimmte Arzneimittel oder Arzneimittelgruppen beschränken oder verbieten. Gestützt auf diese Bestimmung hat der Bundesrat in Art. 5 AWV die Anforderungen an die Fachwerbung statuiert, um zu verhindern, dass in unzulässiger Weise für Arzneimittel geworben und dadurch der Schutz der Gesundheit gefährdet wird. Nach Art. 66 HMG kann das Institut alle Verwaltungsmassnahmen treffen, die zum Vollzug dieses Gesetzes erforderlich sind. So kann es in Bezug auf Heilmittelwerbung etwa unzulässige Werbemittel beschlagnahmen, amtlich verwahren, vernichten sowie deren Verwendung verbieten und dieses Verbot auf Kosten der Verantwortlichen veröffentlichen (Art. 66 Abs. 2 Bst. f HMG), oder die Werbung für ein bestimmtes Heilmittel bei schwerer oder wiederholter Widerhandlung gegen die Bestimmungen dieses Gesetzes über die Werbung vorübergehend oder dauernd verbieten und dieses Verbot auf Kosten der Verantwortlichen veröffentlichen (Art. 66 Abs. 2 Bst. g HMG). Das angefochtene Werbeverbot und die weiteren angeordneten Massnahmen können sich damit auf eine genügende gesetzliche Grundlage stützen.</w:t>
      </w:r>
    </w:p>
    <w:p>
      <w:r>
        <w:rPr>
          <w:b/>
        </w:rPr>
        <w:t>E. 4.2</w:t>
      </w:r>
    </w:p>
    <w:p>
      <w:r>
        <w:t>Wie bereits dargelegt wurde, hat das Institut die Abgabe der Informationsmappe samt Dosierungsschemata zu Recht beanstandet, da sie gegen Art. 5 Abs. 1 AWV sowie Art. 32 Abs. 1 Bst. b und c HMG verstösst. Die werberechtlichen Schutzvorschriften dienen in erster Linie gesundheitspolizeilichen Interessen (vgl. etwa Ueli Kieser, Heilmittel, in: Tomas Poledna/Ueli Kieser (Hrsg.), Gesundheitsrecht, Basel 2005, S. 170; Peter Bratschi/Ursula Eggenberger Stöckli, Bundesgesetz über Arzneimittel und Medizinprodukte, Bern 2001, S. 16; Thomas Eichenberger, Das Verhältnis zwischen dem Heilmittelgesetz und dem Bundesgesetz über den unlauteren Wettbewerb, in: Das neue Heilmittelgesetz, Zürich/Basel/Genf 2004, S. 15). Es soll vermieden werden, dass Werbeadressaten zum unzweckmässigen Einsatz von Arzneimitteln verleitet und damit die Patientinnen und Patienten potentiellen Gesundheitsgefahren ausgesetzt werden (insbesondere Nebenwirkungsrisiken). Gerade auch die Anpreisung nicht zugelassener Indikationen ist mit einer nicht unbedeutenden Gefährdung der öffentlichen Gesundheit verbunden, sind doch Wirksamkeit und relative Sicherheit derartiger Anwendungen nicht im Rahmen eines Zulassungsverfahrens behördlich überprüft worden. Dieser Gefahrenlage hat der Gesetzgeber durch die Vorschriften von Art. 32 HMG Rechnung getragen. An Massnahmen, welche darauf abzielen, unerlaubte Werbung zu verhindern, besteht daher ein erhebliches öffentliches Interesse.</w:t>
      </w:r>
    </w:p>
    <w:p>
      <w:r>
        <w:rPr>
          <w:b/>
        </w:rPr>
        <w:t>E. 4.3</w:t>
      </w:r>
    </w:p>
    <w:p>
      <w:r>
        <w:t>Art. 66 HMG räumt dem Institut einen relativ weiten Ermessensspielraum bei der Auswahl von Verwaltungsmassnahmen zur Aufrechterhaltung und Wiederherstellung der rechtmässigen Ordnung ein, den es pflichtgemäss, insbesondere verhältnismässig nutzen muss. Im Folgenden ist daher zu prüfen, ob sich die vom Institut angeordneten Massnahmen als verhältnismässig erweisen. Dabei ist zu berücksichtigen, dass die Anordnungen des Instituts teilweise als Nebenbestimmungen zu qualifizieren sind, deren Erfüllung selbstständig erzwingbar ist (Ziffern 4 bis 8 der angefochtenen Verfügung; vgl. Ulrich Häfelin/Georg Müller/Felix Uhlmann, Allgemeines Verwaltungsrecht, 5. Aufl., Zürich/Basel/Genf 2006, Rz. 913 f.). Auch wenn eine ausdrückliche gesetzliche Grundlage für solche Bestimmungen nicht erforderlich ist, und die Zulässigkeit aus einem mit der Hauptanordnung zusammenhängenden öffentlichen Interesse hervorgehen kann - wie dies vorliegend zweifellos der Fall ist -, müssen doch auch die Nebenbestimmungen mit dem Grundsatz der Verhältnismässigkeit vereinbar sein und die Voraussetzungen der Eignung, der Erforderlichkeit und der Verhältnismässigkeit zwischen Eingriffszweck und Eingriffswirkung erfüllen (vgl. Häfelin/Müller/Uhlmann, a.a.O., Rz. 918 u. 920).</w:t>
      </w:r>
    </w:p>
    <w:p>
      <w:r>
        <w:rPr>
          <w:b/>
        </w:rPr>
        <w:t>E. 4.3.1</w:t>
      </w:r>
    </w:p>
    <w:p>
      <w:r>
        <w:t>Das Verbot der weiteren Bewerbung von Topamax in der Behandlung von Suchtkrankheiten (Ziffer 1 der Verfügung) sowie das Verbot der weiteren Verteilung der Abgabemappe mit Unterlagen zur Behandlung von Suchtkrankheiten und den Dosierungsschemata (Ziffern 2 und 3 der Verfügung) sind ohne Zweifel geeignet, künftige Gesetzesverletzungen und damit potentielle Gefährdungen der öffentlichen Gesundheit zu verhindern. Zu betonen ist allerdings, dass sich das Verbot der weiteren Abgabe der erwähnten Unterlagen nach richtigem, der Begründung der angefochtenen Verfügung entsprechendem Verständnis nur auf ihre Abgabe zum Zwecke der Arzneimittelwerbung bezieht. Die Verbote erweisen sich nach Auffassung des Bundesverwaltungsgerichts auch als erforderlich, kann doch nur so vermieden werden, dass aufgrund der Anpreisung eines "off label use" das Arzneimittel Topamax unzweckmässig eingesetzt wird und die Patientinnen und Patienten erhöhten Nebenwirkungsrisiken ausgesetzt werden. Die zur Wahrung der involvierten öffentlichen Interessen geeigneten und erforderlichen Massnahmen sind der Beschwerdeführerin auch zumutbar, wird doch die Fachwerbung nur in Bezug auf die nicht zugelassenen Indikationen verboten. Es steht der Beschwerdeführerin im Übrigen frei, beim Institut die Zulassung des Präparates in diesen Indikationen zu beantragen und zu belegen, dass das Präparat Topamax auch in dieser Beziehung die Anforderungen an Qualität, Sicherheit und Wirksamkeit erfüllt. Die Ziffern 1 bis 3 der angefochtenen Verfügung erweisen sich damit als verhältnismässig.</w:t>
      </w:r>
    </w:p>
    <w:p>
      <w:r>
        <w:rPr>
          <w:b/>
        </w:rPr>
        <w:t>E. 4.3.2</w:t>
      </w:r>
    </w:p>
    <w:p>
      <w:r>
        <w:t>In Ziffer 4 der angefochtenen Verfügung verlangt das Institut von der Beschwerdeführerin, sämtliche Dosierungsschemata zu vernichten und die Vernichtung mittels eines Vernichtungsprotokolls zu dokumentieren. Diese Anordnung des Instituts ist insbesondere auf die Tatsache zurückzuführen, dass die Dosierungsschemata für den "off label use" keine einschleichende Dosierung vorsehen und damit von den Dosierungsempfehlungen abweichen, welche in der Arzneimittelinformation für die bereits zugelassenen Indikationen aufgeführt sind. Auch wenn eine Vernichtung der Dosierungsschemata grundsätzlich geeignet ist, das angestrebte Ziel einer Risikoreduktion zu erreichen, so ist es doch weder erforderlich noch zumutbar. Einerseits wird dem Sicherheitsgedanken der Heilmittelgesetzgebung durch die Verbote in den Ziffern 1 bis 3 sowie die Informationspflicht in Ziffer 5 (vgl. dazu Ziff. 4.3.3 hiernach) der angefochtenen Verfügung genügend Rechnung getragen, und andererseits sollte es der Beschwerdeführerin grundsätzlich möglich sein, die aufgrund der getätigten Studien erlangten Erkenntnisse über den Einsatz von Topamax im Bereich Suchtkrankheiten in rechtmässiger Weise - ausserhalb der Fachwerbung - zu nutzen. Ziffer 4 der angefochtenen Verfügung ist daher aufzuheben.</w:t>
      </w:r>
    </w:p>
    <w:p>
      <w:r>
        <w:rPr>
          <w:b/>
        </w:rPr>
        <w:t>E. 4.3.3</w:t>
      </w:r>
    </w:p>
    <w:p>
      <w:r>
        <w:t>In Ziffer 5 der angefochtenen Verfügung wird die Beschwerdeführerin verpflichtet, diejenigen Ärzte, denen die Dosierungsschemata abgegeben wurden, schriftlich über das Sicherheitsrisiko der für den internen Gebrauch innerhalb des CHUV entwickelten Therapien zu informieren, unter gleichzeitigem Hinweis darauf, dass jede nicht durch die Arzneimittelinformation abgestützte Anwendung von Topamax auf die alleinige Verantwortung und das Risiko des behandelnden Arztes erfolgt. Das Schreiben ist innerhalb von 2 Wochen nach Eintritt der Rechtskraft der Verfügung an die Fachpersonen zu versenden, wobei das Schreiben und die Verteiler vorgängig dem Institut zur Genehmigung zu unterbreiten sind. Die Beschwerdeführerin hat für nicht indizierte Anwendungsbereiche des Präparates Topamax Fachwerbung betrieben, und zudem konkrete Dosierungsvorschläge für diese nicht zugelassenen Indikationen gemacht, die von den Dosierungsangaben für bereits zugelassene Indikationen abweichen (keine einschleichende Dosierung). Auch wenn die Fachpersonen - wie dies die Beschwerdeführerin in diversen Eingaben beteuert - anlässlich der Weiterbildungsveranstaltungen über die fehlende Zulassung in der Anwendung bei Suchtkrankheiten bereits mündlich orientiert worden sind, so erscheint die Verpflichtung, die betroffenen Fachpersonen auch auf schriftlichem Weg entsprechend zu informieren und auf die möglichen Risiken hinzuweisen, angesichts der potentiellen Nebenwirkungsrisiken des beworbenen Präparates sowohl erforderlich als auch geeignet. Da diese Massnahme durchaus zumutbar ist und auch die Genehmigungspflicht angesichts der gesamten Umstände nicht zu beanstanden ist, erweist sich Ziffer 5 der angefochtenen Verfügung als verhältnismässig.</w:t>
      </w:r>
    </w:p>
    <w:p>
      <w:r>
        <w:rPr>
          <w:b/>
        </w:rPr>
        <w:t>E. 4.3.4</w:t>
      </w:r>
    </w:p>
    <w:p>
      <w:r>
        <w:t>Im Weiteren wurde die Beschwerdeführerin verpflichtet, dem Institut innerhalb einer Woche nach Eintritt der Rechtskraft der Verfügung Dokumente einzureichen, die belegen, an welche Fachpersonen die Abgabemappe verteilt worden ist (Ziffer 6 der angefochtenen Verfügung). Zudem hat die Beschwerdeführerin innerhalb von 2 Wochen nach Eintritt der Rechtskraft der Verfügung dem Institut ein überarbeitetes Konzept der Beurteilung von Werbematerial einzureichen (Ziff. 7 der angefochtenen Verfügung) und die erfolgreiche Implementierung dieses Konzepts innerhalb nützlicher Frist, spätestens 2 Monate nach Eintritt der Rechtskraft der Verfügung schriftlich zu dokumentieren (Ziff. 8 der angefochtenen Verfügung). Art. 25 AWV regelt die internen werberechtlichen Kontrollmassnahmen der Zulassungsinhaberinnen. Diese haben eine Person zu bezeichnen, welche für die Werbung für die von ihr in Verkehr gebrachten Arzneimittel verantwortlich ist (Art. 25 Abs. 1 AWV). Diese verantwortliche Person hat unter anderem dafür zu sorgen, dass die Anforderungen des Instituts unverzüglich und vollständig befolgt werden (Art. 25 Abs. 3 Bst. b AWV), und liefert dem Institut auf Verlangen alle geforderten Unterlagen und Informationen. Auch die Anordnungen gemäss Ziffer 6, 7 und 8 der angefochtenen Verfügung stellen Nebenbestimmungen dar, bei denen der Grundsatz der Verhältnismässigkeit zu beachten ist (vgl. E. 4 hiervor). Da nach wie vor nicht mit Sicherheit feststeht, ob die Informationsmappen an sämtliche Veranstaltungsteilnehmer oder ausschliesslich an die anfragende Fachperson abgegeben wurde - was für die Qualifizierung als Werbemassnahme nicht ausschlaggebend ist -, ist es sowohl angezeigt als auch erforderlich, von der Beschwerdeführerin die Vorlage von Dokumenten zu verlangen, die belegen, an welche Fachpersonen die Informationsmappe abgegeben wurde. Nur so kann sichergestellt werden, dass die in Ziffer 5 der angefochtenen Verfügung zu Recht angeordnete Information über das Sicherheitsrisiko allen betroffenen Fachpersonen zugestellt wird. Das vorliegende Verfahren hat Mängel der internen werberechtlichen Kontrolle der Beschwerdeführerin aufgezeigt. Um künftige Mängel bei der Handhabung der Fachwerbung zu verhindern und dem Institut zu ermöglichen, seine gesetzlichen Aufgaben wahrzunehmen, erscheint eine Überarbeitung des Konzepts der internen Werbekontrolle angezeigt. Die in den Ziffern 7 und 8 der angefochtenen Verfügung angeordneten Massnahmen sind zur Sicherstellung einer gesetzeskonformen internen Werbekontrolle geeignet und erforderlich. Da die Anordnungen für die Beschwerdeführerin durchaus zumutbar sind, erweisen sich auch die Ziffern 6 bis 8 der angefochtenen Verfügung als verhältnismässig.</w:t>
      </w:r>
    </w:p>
    <w:p>
      <w:r>
        <w:rPr>
          <w:b/>
        </w:rPr>
        <w:t>E. 4.4</w:t>
      </w:r>
    </w:p>
    <w:p>
      <w:r>
        <w:t>Die in der angefochtenen Verfügung angeordneten Massnahmen können sich damit auf eine ausreichende Rechtsgrundlage stützen, liegen in öffentlichem Interesse und sind - mit Ausnahme von Ziffer 4 der Verfügung - verhältnismässig.</w:t>
      </w:r>
    </w:p>
    <w:p>
      <w:r>
        <w:rPr>
          <w:b/>
        </w:rPr>
        <w:t>E. 5</w:t>
      </w:r>
    </w:p>
    <w:p>
      <w:r>
        <w:t>Zusammenfassend ist festzuhalten, dass die Abgabe der Informationsmappe zu Topamax im Anwendungsbereich Suchtkrankheiten eine unzulässige Fachwerbung darstellt. Die Verfügung des Instituts vom 11. Oktober 2006 erweist sich mit Ausnahme von Ziffer 4 als rechtmässig. Die Beschwerde ist daher insoweit gutzuheissen ist, als Ziffer 4 der angefochtenen Verfügung aufgehoben wird. Weitergehend ist die Beschwerde abzuweisen, soweit darauf eingetreten werden kann.</w:t>
      </w:r>
    </w:p>
    <w:p>
      <w:r>
        <w:rPr>
          <w:b/>
        </w:rPr>
        <w:t>E. 6</w:t>
      </w:r>
    </w:p>
    <w:p>
      <w:r>
        <w:t>Zu befinden bleibt noch über die Verfahrenskosten und eine allfällige Parteientschädigung.</w:t>
      </w:r>
    </w:p>
    <w:p>
      <w:r>
        <w:rPr>
          <w:b/>
        </w:rPr>
        <w:t>E. 6.1</w:t>
      </w:r>
    </w:p>
    <w:p>
      <w:r>
        <w:t>Als in der Hauptsache unterliegende Partei hat die Beschwerdeführerin grundsätzlich die Verfahrenskosten zu tragen (Art. 63 Abs. 1 VwVG). Diese setzen sich zusammen aus der Gerichtsgebühr und den Auslagen, und werden unter Berücksichtigung des Umfanges und der Schwierigkeit der Streitsache sowie der Tatsache, dass das Bundesverwaltungsgericht eine mündliche Verhandlung durchzuführen hatte, im vorliegenden Verfahren auf pauschal Fr. 4'500.-- festgesetzt (Art. 63 Abs. 4bis und 5 VwVG, Art. 1, 2 und 3 des Reglements vom 11. Dezember 2006 über die Kosten und Entschädigungen vor dem Bundesverwaltungsgericht [VGKE, SR 173.320.2]). Aufgrund des teilweise Obsiegens werden die Verfahrenskosten um 1/10 (Fr. 450.-) auf Fr. 4'050.- reduziert und mit dem bereits geleisteten Verfahrenskostenvorschuss von Fr. 3'500.- verrechnet. Den Restbetrag von Fr. 550.- hat die Beschwerdeführerin mit beiliegendem Einzahlungsschein der Gerichtskasse zu überweisen.</w:t>
      </w:r>
    </w:p>
    <w:p>
      <w:r>
        <w:rPr>
          <w:b/>
        </w:rPr>
        <w:t>E. 6.2</w:t>
      </w:r>
    </w:p>
    <w:p>
      <w:r>
        <w:t>Entsprechend dem Ausgang des Verfahrens ist der Beschwerdeführerin eine reduzierte Parteientschädigung zuzusprechen, zahlbar durch die Vorinstanz. Da keine Kostennote eingereicht wurde, ist die Entschädigung auf pauschal Fr. 800.- (inkl. MWSt) festzulegen (Art. 7 Abs. 2 und Art. 14 Abs. 2 VGKE, Art. 64 VwVG).</w:t>
      </w:r>
    </w:p>
    <w:p>
      <w:r>
        <w:rPr>
          <w:b/>
        </w:rPr>
        <w:t>E. 6.3</w:t>
      </w:r>
    </w:p>
    <w:p>
      <w:r>
        <w:t>Aufgrund der teilweisen Gutheissung der Beschwerde sind auch die Gebühren der Vorinstanz für das Verwaltungsmassnahmeverfahren (Ziffer 11 der angefochtenen Verfügung) im gleichen Verhältnis wie die Kosten des vorliegenden Verfahrens zu reduzieren (vgl. Art. 6 Abs. 3 der Verordnung über Kosten und Entschädigungen im Verwaltungsverfahren, SR 172.041.0, der in analogiam auch auf das Verfahren vor Bundesverwaltungsgericht anzuwenden ist). Die Gebühren für das vorinstanzliche Verfahren werden demnach von Fr. 4'600.- auf Fr. 4'140.-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