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C-2084/2023 vom 6. März 2023</w:t>
      </w:r>
    </w:p>
    <w:p>
      <w:r>
        <w:t>Bundesverwaltungsgericht, 2023-03-06, DE</w:t>
      </w:r>
    </w:p>
    <w:p>
      <w:r>
        <w:rPr>
          <w:b/>
        </w:rPr>
        <w:t xml:space="preserve">Quelle: </w:t>
      </w:r>
      <w:r>
        <w:t>https://mcp.opencaselaw.ch/entscheid/bvger_C-2084_2023_d20230306</w:t>
      </w:r>
    </w:p>
    <w:p>
      <w:r>
        <w:t>FR: TAF C-2084/2023 du 6 mars 2023</w:t>
      </w:r>
    </w:p>
    <w:p>
      <w:r>
        <w:t>IT: TAF C-2084/2023 del 6 marzo 2023</w:t>
      </w:r>
    </w:p>
    <w:p>
      <w:pPr>
        <w:pStyle w:val="Heading2"/>
      </w:pPr>
      <w:r>
        <w:t>Regeste</w:t>
      </w:r>
    </w:p>
    <w:p>
      <w:r>
        <w:t>Invalidenversicherung (&amp;Uuml;briges) | Invalidenversicherung (IV), Anspruch auf Taggeld, Verfügung der IVSTA vom 6. März 2023</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Dem Beschwerdeführer wird der geleistete Kostenvorschuss von Fr. 200.- nach Eintritt der Rechtskraft des vorliegenden Entscheids zurückerstattet.</w:t>
      </w:r>
    </w:p>
    <w:p>
      <w:r>
        <w:rPr>
          <w:b/>
        </w:rPr>
        <w:t>E. 3</w:t>
      </w:r>
    </w:p>
    <w:p>
      <w:r>
        <w:t>Es wird keine Parteientschädigung zugesprochen.</w:t>
      </w:r>
    </w:p>
    <w:p>
      <w:r>
        <w:rPr>
          <w:b/>
        </w:rPr>
        <w:t>E. 4</w:t>
      </w:r>
    </w:p>
    <w:p>
      <w:r>
        <w:t>Dieser Entscheid geht an den Beschwerdeführer,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