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C-2081/2011 vom 20. Januar 2012</w:t>
      </w:r>
    </w:p>
    <w:p>
      <w:r>
        <w:t>Bundesverwaltungsgericht, 2012-01-20, FR</w:t>
      </w:r>
    </w:p>
    <w:p>
      <w:r>
        <w:rPr>
          <w:b/>
        </w:rPr>
        <w:t xml:space="preserve">Quelle: </w:t>
      </w:r>
      <w:r>
        <w:t>https://mcp.opencaselaw.ch/entscheid/bvger_C-2081_2011</w:t>
      </w:r>
    </w:p>
    <w:p>
      <w:r>
        <w:t>FR: TAF C-2081/2011 du 20 janvier 2012</w:t>
      </w:r>
    </w:p>
    <w:p>
      <w:r>
        <w:t>IT: TAF C-2081/2011 del 20 gennaio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 recourant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régnant au moment où elle statue (cf. ATAF 2011/1 consid. 2 p. 4 et jurisprudence citée).</w:t>
      </w:r>
    </w:p>
    <w:p>
      <w:r>
        <w:rPr>
          <w:b/>
        </w:rPr>
        <w:t>E. 3</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w:t>
      </w:r>
    </w:p>
    <w:p>
      <w:r>
        <w:rPr>
          <w:b/>
        </w:rPr>
        <w:t>E. 4</w:t>
      </w:r>
    </w:p>
    <w:p>
      <w:r>
        <w:t>L'interdiction d'entrée, qui permet d'empêcher l'entrée ou le retour en Suisse (et dans l'Espace Schengen, cf. arrêt du Tribunal administratif fédéral C-2316/2010 du 20 décembre 2011 consid. 3.4) d'un étranger dont le séjour y est indésirable, est réglée à l'art. 67 LEtr. Cette disposition a remplacé l'art. 13 de la loi fédérale du 26 mars 1931 sur le séjour et l'établissement des étrangers (LSEE de 1931,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ATAF 2008/24 consid. 4.2 p. 352 et arrêt du Tribunal administratif fédéral C-7058/2009 du 25 août 2010 consid. 3.1 et jurisprudence citée).</w:t>
      </w:r>
    </w:p>
    <w:p>
      <w:r>
        <w:rPr>
          <w:b/>
        </w:rPr>
        <w:t>E. 5.1</w:t>
      </w:r>
    </w:p>
    <w:p>
      <w:r>
        <w:t>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5.2</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5.3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C-671/2008 du 20 mars 2009 consid. 4).</w:t>
      </w:r>
    </w:p>
    <w:p>
      <w:r>
        <w:rPr>
          <w:b/>
        </w:rPr>
        <w:t>E. 5.4</w:t>
      </w:r>
    </w:p>
    <w:p>
      <w:r>
        <w:t>En application de l'art. 81 OASA, les autorités cantonales peuvent déposer une demande auprès de l'ODM afin qu'il ordonne une interdiction d'entrée.</w:t>
      </w:r>
    </w:p>
    <w:p>
      <w:r>
        <w:rPr>
          <w:b/>
        </w:rPr>
        <w:t>E. 5.5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 Rudin/ Hugi Yar/ Geiser [éd.], Ausländerrecht, 2ème éd., Bâle 2009, ch. 8.80 p. 356). 6.En l'occurrence, l'ODM a prononcé à l'endroit de A._______ une interdiction d'entrée au motif que celui-ci avait attenté à la sécurité et à l'ordre publics en raison d'une entrée et d'un séjour illégaux et pour avoir transgressé une interdiction d'entrée notifiée. L'examen du dossier amène le Tribunal à constater que, selon les déclarations même du recourant lors de son audition du 10 mars 2011 par la police cantonale fribourgeoise, celui est entré en Suisse sans visa au mois de février 2011 et a ensuite séjourné illégalement dans ce pays, avant que sa présence ne fût découverte à l'occasion d'un accident de la circulation dont il s'était rendu coupable. Il apparaît à cet égard que le recourant a violé de manière parfaitement consciente et volontaire les prescriptions légales régissant l'entrée et le séjour en Suisse. Il ne pouvait en effet ignorer les prescriptions en vigueur en la matière, dès lors qu'il avait précédemment déjà fait l'objet de deux décisions d'interdiction d'entrée en Suisse pour des motifs analogues. Le Tribunal constate que le recourant est au surplus revenu illégalement en Suisse, alors même qu'il était sous le coup de l'interdiction d'entrée prononcée à son endroit le 26 août 2008, comportement qui dénote de sa part un mépris total, non seulement pour les dispositions légales applicables, mais encore pour les décisions rendues par les autorités en application de ces dispositions. Dans ces circonstances, c'est pleinement à bon droit que l'ODM a considéré, dans sa décision du 15 mars 2011, que le recourant avait attenté à la sécurité et à l'ordre publics au sens de l'art. 67 al. 2 let. a LEtr et qu'il a fondé la décision attaquée sur ces motifs.</w:t>
      </w:r>
    </w:p>
    <w:p>
      <w:r>
        <w:rPr>
          <w:b/>
        </w:rPr>
        <w:t>E. 7.1</w:t>
      </w:r>
    </w:p>
    <w:p>
      <w:r>
        <w:t>Il convient encore d'examiner si la mesure d'éloignement querellée, prononcée le 15 mars 2011, soit de fait pour une durée de trois ans, satisfait aux principes de la proportionnalité et d'égalité de traitement.</w:t>
      </w:r>
    </w:p>
    <w:p>
      <w:r>
        <w:rPr>
          <w:b/>
        </w:rPr>
        <w:t>E. 7.2</w:t>
      </w:r>
    </w:p>
    <w:p>
      <w:r>
        <w:t>Lorsque l'autorité administrative prononce une interdiction d'entrée, elle doit en effet respecter les principes susmentionnés et s'interdire tout arbitraire (cf. André Grisel, Traité de droit administratif, vol. I, Neuchâtel 1984, p. 339ss, 348ss, 358ss et 364ss ; Blaise Knapp, Précis de droit ad­ministratif, Bâle/Francfort-sur-le-Main 1991, p. 103ss, 113ss et 124ss; cf. consid. 5.5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w:t>
      </w:r>
    </w:p>
    <w:p>
      <w:r>
        <w:rPr>
          <w:b/>
        </w:rPr>
        <w:t>E. 7.3</w:t>
      </w:r>
    </w:p>
    <w:p>
      <w:r>
        <w:t>En l'espèce, au vu de l'ensemble des éléments objectifs et subjectifs de la cause et compte tenu en particulier du caractère parfaitement conscient et volontaire des infractions commises par le recourant, lequel a de plus transgressé une interdiction d'entrée à lui notifiée, le Tribunal estime que l'interdiction d'entrée prononcée le 15 mars 2011 est adéquate et que sa durée respecte le principe de proportionnalité. Par ailleurs, cette mesure n'est pas contraire au principe d'égalité de traitement, au regard des décisions prises par les autorités dans des cas analogues. Il convient de relever enfin que, depuis la date de son prononcé, elle respecte la durée maximale de cinq ans de l'art. 67 al. 3 LEtr. 8.En conséquence, le Tribunal est amené à conclure que la décision querellée est conforme au droit (cf.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