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C-2069/2010 vom 25. Februar 2011</w:t>
      </w:r>
    </w:p>
    <w:p>
      <w:r>
        <w:t>Bundesverwaltungsgericht, 2011-02-25, DE</w:t>
      </w:r>
    </w:p>
    <w:p>
      <w:r>
        <w:rPr>
          <w:b/>
        </w:rPr>
        <w:t xml:space="preserve">Quelle: </w:t>
      </w:r>
      <w:r>
        <w:t>https://mcp.opencaselaw.ch/entscheid/bvger_C-2069_2010</w:t>
      </w:r>
    </w:p>
    <w:p>
      <w:r>
        <w:t>FR: TAF C-2069/2010 du 25 février 2011</w:t>
      </w:r>
    </w:p>
    <w:p>
      <w:r>
        <w:t>IT: TAF C-2069/2010 del 25 febbraio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Urteil 2A.451/2002 vom 28. März 2003 E. 1.2, teilweise publ. in: BGE 129 II 215).</w:t>
      </w:r>
    </w:p>
    <w:p>
      <w:r>
        <w:rPr>
          <w:b/>
        </w:rPr>
        <w:t>E. 3</w:t>
      </w:r>
    </w:p>
    <w:p>
      <w:r>
        <w:t>In formeller Hinsicht beantragt die Parteivertreterin in den Eingaben vom 1. Juni 2010 und 3. September 2010 den Beizug der Strafakten, welche der Strafverfügung des Amtsstatthalteramtes Hochdorf vom 5. März 2010 zu Grunde liegen.</w:t>
      </w:r>
    </w:p>
    <w:p>
      <w:r>
        <w:rPr>
          <w:b/>
        </w:rPr>
        <w:t>E. 3.1</w:t>
      </w:r>
    </w:p>
    <w:p>
      <w:r>
        <w:t>Art. 19 VwVG i.V.m. Art. 37 des Bundesgesetzes über den Zivilprozess vom 4. Dezember 1947 (BZP, SR 273) verpflichtet die Behörde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Art. 33 Abs. 1 VwVG, BGE 136 I 229 E. 5.3 S. 236 f. mit Hinweisen oder Urteile des Bundesgerichts 1C_193/2010 vom 4. November 2010 E. 2.8 und 1C_460/2008 vom 3. Februar 2009 E. 3.1 mit Hinweisen).</w:t>
      </w:r>
    </w:p>
    <w:p>
      <w:r>
        <w:rPr>
          <w:b/>
        </w:rPr>
        <w:t>E. 3.2</w:t>
      </w:r>
    </w:p>
    <w:p>
      <w:r>
        <w:t>Eine solche Situation liegt auch hier vor. Es ist nicht davon auszugehen, dass der Beizug sämtlicher Akten im Strafverfahren ASH 10 244 01 des Amtsstatthalteramtes Hochdorf zu massgebenden neuen Erkenntnissen führen würde, gibt die zweiseitige Strafverfügung vom 5. März 2010, zusammen mit den Erläuterungen der Rechtsvertreterin in der Replik vom 3. September 2010, doch hinreichend Aufschluss über die Hintergründe der fraglichen Straftaten und insbesondere der dem Beschwerdeführer vorgeworfenen Nötigungshandlungen. Auch dass das Verfahren wegen Nötigung zum Nachteil einer Amtsstatthalterin zufolge Konsumation ohne Kostenausscheidung eingestellt wurde, geht aus der obgenannten Strafverfügung hervor. Dem entsprechenden Antrag ist deshalb nicht stattzugeben.</w:t>
      </w:r>
    </w:p>
    <w:p>
      <w:r>
        <w:rPr>
          <w:b/>
        </w:rPr>
        <w:t>E. 4.1</w:t>
      </w:r>
    </w:p>
    <w:p>
      <w:r>
        <w:t>Wird gegen eine Person, welche nicht Angehörige eines Staates ist, der durch eines der Schengen-Assozierungsabkommen gebunden ist (vgl. Anhang 1 Ziffer 1 des Bundesgesetzes vom 16. Dezember 2005 über die Ausländerinnen und Ausländer [AuG, SR 142.20]),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4.2</w:t>
      </w:r>
    </w:p>
    <w:p>
      <w:r>
        <w:t>Der Beschwerdeführer ist nicht Bürger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C-20/2010 vom 12. Oktober 2010 E. 6.2.1). Damit wird den Anforderungen an die Verhältnismässigkeit Genüge getan. Einzelfallweise bestehen weitere Lockerungsmöglichkeiten (bezogen auf Einreisen in die Schweiz siehe beispielsweise die Möglichkeit der Suspension des Einreiseverbots gemäss Art. 67 Abs. 5 AuG). Vorliegend wurde die Schweiz von keiner anderen Vertragspartei konsultiert und der Beschwerdeführer besitzt derzeit auch kein Aufenthaltsrecht in einem Schengenstaat. Die Ausschreibung im SIS erfolgte daher zu Recht.</w:t>
      </w:r>
    </w:p>
    <w:p>
      <w:r>
        <w:rPr>
          <w:b/>
        </w:rPr>
        <w:t>E. 5.1</w:t>
      </w:r>
    </w:p>
    <w:p>
      <w:r>
        <w:t>Auf den 1. Januar 2011 trat als Folge der Weiterentwicklung des Schengen-Besitzstandes eine neue Fassung von Art. 67 AuG in Kraft (zum Ganzen vgl. BBl 2009 8881 und AS 2010 5925). Nach Art. 67 Abs. 1 AuG wird ein Einreiseverbot vom BFM unter Vorbehalt von Abs. 5 nunmehr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vorgenannten Grundsätzen vereinbar (vgl. BBl 2009 8896 ad Art. 67 Abs. 3 in fine), weswegen sich für den Beschwerdeführer im Ergebnis nichts ändert.</w:t>
      </w:r>
    </w:p>
    <w:p>
      <w:r>
        <w:rPr>
          <w:b/>
        </w:rPr>
        <w:t>E. 5.2</w:t>
      </w:r>
    </w:p>
    <w:p>
      <w:r>
        <w:t>Wie bereits die altrechtliche Einreisesperre (vgl. Art. 13 Abs. 1 des Bundesgesetzes vom 26. März 1931 über Aufenthalt und Niederlassung der Ausländer [ANAG, BS 1 121])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w:t>
      </w:r>
    </w:p>
    <w:p>
      <w:r>
        <w:rPr>
          <w:b/>
        </w:rPr>
        <w:t>E. 6</w:t>
      </w:r>
    </w:p>
    <w:p>
      <w:r>
        <w:t>Der Beschwerdeführer wurde für das ihm von der Vorinstanz zur Hauptsache vorgeworfene Verhalten zweimal strafrechtlich zur Rechenschaft gezogen. Für die einzelnen Delikte kann im Wesentlichen auf die beiden Strafverfügungen vom 14. Dezember 2009 und 5. März 2010 verwiesen werden (siehe Sachverhalt Bst. B vorstehend). Wohl war das zweite Urteil zum Zeitpunkt des Erlasses der Fernhaltemassnahme noch nicht rechtskräftig, die zuständige Behörde ist jedoch in der Regel nicht gehalten, den rechtskräftigen Abschluss eines Strafverfahrens abzuwarten (vgl. Urteil des Bundesverwaltungsgerichts C-109/2006 vom 4. Oktober 2010 E. 4.3 mit Hinweis). Inzwischen sind beide Strafurteile in Rechtskraft erwachsen und die entsprechenden Sachverhalte anerkannt. Das Revisionsgesuch vom 1. Februar 2011 an das Luzerner Obergericht ändert daran im jetzigen Zeitpunkt nichts. Das bisherige Verhalten des Beschwerdeführers ist nicht zu bagatellisieren, hat er in der Vergangenheit doch - unter anderem - Amtspersonen wiederholt und zum Teil massiv verunglimpft und/oder bedroht, nur weil er sich von ihnen ungerecht behandelt fühlte. Ein ähnliches Gebaren legte er gegenüber der zweiten Ehefrau und deren jetzigem Freund an den Tag; ersterer gegenüber ist er sogar mehrfach tätlich geworden. Hinzu kommen in der angefochtenen Verfügung nicht explizit aufgeführte, von der Strafverfügung vom 14. Dezember 2009 aber miterfasste Ladendiebstähle sowie mehrfache Sachbeschädigung, mehrfacher Hausfriedensbruch, Ungehorsam gegen eine amtliche Verfügung und Freiheitsberaubung. Gemäss gängiger Praxis führen Verstösse gegen solche Rechtsgüter in der Regel zu mehrjährigen Fernhaltemassnahmen. Was die Parteivertreterin dagegen vorbringt (bedingt ausgesprochene Strafen, Delinquenz als Folge familiärer Probleme und negativer Nebenwirkungen von Medikamenten), ist zumindest mit Blick auf die Grundsatzfrage, ob überhaupt ein Einreiseverbot verhängt werden durfte, nicht von Belang. Die begangenen Straftaten, welche keineswegs Bagatelldelikte darstellen, lassen sich damit selbstredend nicht rechtfertigen. Wie die Aufzählung von Art. 67 AuG zeigt, vermögen im Übrigen schon weit geringfügigere Verhaltensweisen ein Einreiseverbot nach sich zu ziehen (zum Ganzen vgl. BBl 2002 3809 und 3813). Die Voraussetzungen von Art. 67 Abs. 2 Bst. a AuG sind folglich erfüllt.</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 / Georg Müller / Felix Uhlmann, Allgemeines Verwaltungsrecht, 5. Aufl., Zürich / Basel / Genf 2006, Rz. 613 ff.).</w:t>
      </w:r>
    </w:p>
    <w:p>
      <w:r>
        <w:rPr>
          <w:b/>
        </w:rPr>
        <w:t>E. 7.2</w:t>
      </w:r>
    </w:p>
    <w:p>
      <w:r>
        <w:t>Wie eben dargetan, hat der Beschwerdeführer wiederholt zu Klagen Anlass gegeben. Im Vordergrund stehen die Strafverfügungen vom 14. Dezember 2009 und 5. März 2010. Negativ ins Gewicht fallen hierbei vorab die Gewalt gegenüber der zweiten, getrennt lebenden Ehefrau sowie die verbalen Angriffe auf die mit seinen zivil- und strafrechtlichen Angelegenheiten befassten Richterinnen, Richter und sonstigen Amtspersonen. Deswegen musste der Betroffene in der Zeitspanne von Mai 2009 bis März 2010 nicht weniger als viermal in Untersuchungshaft genommen werden (zu den genauen Daten siehe die Eingabe der Rechtsvertreterin vom 18. Mai 2010). Der Beschwerdeführer vermittelt in dieser Hinsicht das Bild einer mit der momentanen Lebenssituation überforderten Person, die zwar einerseits mehrfach mit dem Gesetz in Konflikt geraten ist, die Grenzen zu schwerer Straffälligkeit aber andererseits doch nie überschritten hat. Dies manifestiert sich nicht zuletzt darin, dass beide Strafinstanzen es in den vorerwähnten Strafverfügungen - trotz der Möglichkeit, Freiheitsstrafen zu verhängen - bei bedingten Geldstrafen und Bussen haben bewenden lassen. Der Parteivertreterin ist sodann beizupflichten, dass es sich bei den übrigen aktenkundigen Vorkommnissen (Bussen wegen Falschparkierens, Strafverfügung wegen Widerhandlung gegen das AHVG) in der Tat um vorliegend nicht mitzuberücksichtigende Bagatellen handelt (vgl. dazu die Auflistung in der Verfügung des Migrationsamtes des Kantons Luzern vom 4. März 2010 betreffend Widerrufs der Niederlassungsbewilligung). Von daher steht zwar ausser Frage, dass nach wie vor ein gewichtiges Interesse an der Fernhaltung des Beschwerdeführers besteht. Dieses Interesse ist alles in allem jedoch nicht derart beherrschend, dass sich ihm jedes entgegenstehende Interesse unterordnen müsste.</w:t>
      </w:r>
    </w:p>
    <w:p>
      <w:r>
        <w:rPr>
          <w:b/>
        </w:rPr>
        <w:t>E. 7.3</w:t>
      </w:r>
    </w:p>
    <w:p>
      <w:r>
        <w:t>Was die subjektive Seite anbelangt, so trifft zu, dass die Haupttaten in einem Zusammenhang mit den Folgen der Ehekrise mit den zum Teil noch hängigen Eheschutz-, Scheidungs- und Strafverfahren stehen. Besagtem Aspekt kann aus ausländerrechtlicher Optik (siehe E. 5.2 hiervor) indessen nicht die Bedeutung zukommen, welche ihm die Parteivertreterin auf Beschwerdeebene anscheinend beimisst. Der Beweggrund für die strafbaren Handlungen lag in den überwiegenden Fällen darin, dass sich der Beschwerdeführer jeweils ungerecht behandelt fühlte. Bei einem solchen Verhaltensmuster kann die Gefahr, dass er in den fraglichen Bereichen wiederum negativ in Erscheinung treten wird, weder als gebannt betrachtet noch hingenommen werden; dies umso weniger, als die ehelichen Auseinandersetzungen mit der zweiten Ehefrau andauern und anscheinend mit äusserst harten Bandagen geführt werden (gegenseitiges Eindecken mit Strafanzeigen, heftiger Streit um Unterhaltsbeiträge und Besuchsrecht, etc.). Aus den gleichen Gründen vermag der Beschwerdeführer aus den Vorkommnissen, welche am 14. Januar 2010 zu seiner neuerlichen Festnahme führten (der Betroffene gab damals mit unlauteren Methoden seinen Unmut gegenüber Amtspersonen kund, welche ihn betreffende gerichtliche Verfahren in seinen Augen zu zögerlich behandelten), nichts Wesentliches für sich abzuleiten. Ebenso wenig lassen die behaupteten Nebenwirkungen von - immerhin ärztlich verordneten - Medikamenten diesbezüglich eine andere Beurteilung zu. Gemäss den kantonalen Akten hat der Beschwerdeführer in der Zwischenzeit trotz richterlichem Verbot wiederholt telefonisch und auf elektronischem Weg Kontakt zu seiner getrennt lebenden Ehefrau aufgenommen. Der Rechtsvertreterin ist dieser Sachverhalt aufgrund der Zwischenverfügung vom 10. September 2010 bekannt. Die sich in der Person des Massnahmebelasteten äussernde Uneinsichtigkeit macht deutlich, dass er unter den aktuellen familiären Rahmenbedingungen - vorderhand - keine Gewähr für ein Respektieren der schweizerischen Rechtsordnung und der hiesigen Gepflogenheiten bietet.</w:t>
      </w:r>
    </w:p>
    <w:p>
      <w:r>
        <w:rPr>
          <w:b/>
        </w:rPr>
        <w:t>E. 7.4</w:t>
      </w:r>
    </w:p>
    <w:p>
      <w:r>
        <w:t>Bezüglich privater Interessen an ungehinderten Einreisen verweist der Beschwerdeführer auf den rund zehnjährigen Voraufenthalt hierzulande und macht familiäre, berufliche und gesundheitliche Gründe geltend.</w:t>
      </w:r>
    </w:p>
    <w:p>
      <w:r>
        <w:rPr>
          <w:b/>
        </w:rPr>
        <w:t>E. 7.4.1</w:t>
      </w:r>
    </w:p>
    <w:p>
      <w:r>
        <w:t>Dem Beschwerdeführer kann insofern gefolgt werden, als von engeren, während Jahren aufgebauten familiären, beruflichen und sozialen Bindungen ausgegangen werden muss, die grundsätzlich geeignet sind, ein beträchtliches privates Interesse an Einreisen in die Schweiz zu begründen. Auch seine neue Lebenspartnerin (die jetzige Parteivertreterin) stammt aus der Schweiz und ist hierzulande ansässig. Die Ehe mit der zweiten Ehefrau ist derweil völlig zerrüttet und das Scheidungsverfahren in vollem Gange (zu den Hintergründen der in Pakistan offenbar bereits geschiedenen Ehe siehe das Familiennachzugsgesuch vom 14. April 2010 oder die Eingabe vom 2. August 2010). Auch die Kontakte zu dem 2008 geborenen Sohn sind durch den ehelichen Konflikt erheblich eingeschränkt, was das dementsprechend ausgestaltete Besuchsrecht verdeutlicht.</w:t>
      </w:r>
    </w:p>
    <w:p>
      <w:r>
        <w:rPr>
          <w:b/>
        </w:rPr>
        <w:t>E. 7.4.2</w:t>
      </w:r>
    </w:p>
    <w:p>
      <w:r>
        <w:t>Allfällige Einschränkungen des Privat- bzw. Familienlebens der Beteiligten können vorliegend aufgrund sachlicher und funktioneller Unzuständigkeit des Bundesverwaltungsgerichts nicht Verfahrensgegenstand sein, soweit sie auf das Fehlen eines dauerhaften Anwesenheitsrechts in der Schweiz zurückzuführen sind (vgl. Urteile des Bundesverwaltungsgerichts C-1335/2009 vom 3. Juni 2010 E. 6.3.1 und C-4509/2009 vom 7. Januar 2010 E. 7.3 jeweils mit Hinweisen). Die Erteilung von Aufenthaltsbewilligungen fällt grundsätzlich in die Zuständigkeit der Kantone, wobei im Falle einer Bewilligungserteilung auch das bestehende Einreiseverbot aufzuheben wäre (vgl. Urteil des Bundesgerichts 2C_793/2008 vom 27. März 2009 E. 3.2 mit Hinweisen). Im Falle des Beschwerdeführers haben die Behörden des Kantons Luzern die Niederlassungsbewilligung am 5. März 2010 widerrufen und die Wegweisung aus der Schweiz verfügt. Die Pflege regelmässiger persönlicher, beruflicher oder sonstiger Kontakte zur Schweiz scheitert mithin bereits am fehlenden Anwesenheitsrecht hierzulande. Gleiches gilt in Bezug auf das Verhältnis zur Freundin. Gemäss Verfügung des Amtes für Migration des Kantons Luzern vom 5. Oktober 2010 wurde der entsprechende Antrag auf Erteilung einer Aufenthaltsbewilligung im Rahmen des Konkubinats und späterer Eheschliessung abgelehnt und vom Justiz- und Sicherheitsdepartement des Kantons Luzern auf Beschwerde hin am 10. Januar 2011 eben erst bestätigt. Das diesbezügliche (kantonale) Rechtsmittelverfahren ist hängig. Konkrete Schritte für die geplante Eheschliessung können, da der Beschwerdeführer noch verheiratet ist, nicht unternommen werden. Demzufolge wird der Beschwerdeführer zumindest unter den momentanen Begebenheiten durch das Einreiseverbot in seiner Lebensführung nicht übermässig beeinträchtigt.</w:t>
      </w:r>
    </w:p>
    <w:p>
      <w:r>
        <w:rPr>
          <w:b/>
        </w:rPr>
        <w:t>E. 7.4.3</w:t>
      </w:r>
    </w:p>
    <w:p>
      <w:r>
        <w:t>Auch die berufliche und gesundheitliche Situation vermag das öffentli­che Interesse nicht zu überwiegen. Als Finanzberater wickelte der Be­schwerdeführer zwar bislang einen Teil seiner Geschäftstätigkeit in und über die Schweiz ab, ebenso pflegte er aber rege Beziehungen zu Län­dern ausserhalb des eigentlichen Schengenraums (konkret genannt werden Grossbritan­nien, Irland, Türkei und die USA), was die negativen Auswirkun­gen der angefochtenen Verfügung mildert. Davon abgesehen vermochte ihn die geltend gemachte berufliche Integration nicht davon abzuhal­ten, hierzulande zu delinquieren. Den eingereichten medizini­schen Unterlagen zufolge leidet der Beschwerdeführer an depressiven Stö­rungen, die psychotherapeutischer Betreuung bedürfen (in diesem Sinne die Stellungnahmen der Privatklinik Meiringen vom 12. und 22. Juli 2010). Ansonsten werden seine Handlungen eher auf spezifische charakter­liche Dispositionen zurückgeführt (vgl. forensisch-psychia­trisches Gutachten der Luzerner Psychiatrie vom 29. September 2009). Ge­wöhnlichen psychotherapeuti­schen Be­handlungen kann sich der Betrof­fene nun aber problemlos im Ausland unterziehen. Hinzuweisen wäre schliesslich auf die Möglichkeit der Suspension der angeordneten Fernhal­temassnahme (Art. 67 Abs. 5 AuG). Den Erfahrungen bei der letzt­maligen Gewährung der Suspension (die im Juni 2010 gewährte Sus­pension wurde dreimal erstreckt; anstatt am 5. September 2010 reiste er erst am 15. September 2010, unter Androhung von Zwangsmassnahmen, wieder aus) wird das hierfür zuständige BFM freilich Rechnung zu tragen haben.</w:t>
      </w:r>
    </w:p>
    <w:p>
      <w:r>
        <w:rPr>
          <w:b/>
        </w:rPr>
        <w:t>E. 7.5</w:t>
      </w:r>
    </w:p>
    <w:p>
      <w:r>
        <w:t>Zusammenfassend führt eine wertende Gewichtung der gegenläufi­gen öffentlichen und privaten Interessen zum Ergebnis, dass das Einreiseverbot dem Grundsatze nach zu bestätigen ist, in der ausgesproche­nen Dauer von zehn Jahren jedoch als unangemessen lang erscheint. In Würdigung der gesamten Umstände (insbesondere wegen der bedingt ausgesprochen Geldstrafen bei den Haupttaten und der persön­lichen Beziehungen zur Schweiz) sowie unter Berücksichtigung des Aspekts, dass sich die Wiederholungsgefahr mit der mittelfristig abseh­baren Beendigung der ehelichen Auseinandersetzungen mit der zwei­ten Gattin minimieren wird, ist davon auszugehen, dass dem öffentli­chen Interesse an der Fernhaltung des Beschwerdeführers mit einem Einrei­severbot von drei Jahren hinreichend Rechnung getragen wird.</w:t>
      </w:r>
    </w:p>
    <w:p>
      <w:r>
        <w:rPr>
          <w:b/>
        </w:rPr>
        <w:t>E. 8</w:t>
      </w:r>
    </w:p>
    <w:p>
      <w:r>
        <w:t>Aus diesen Erwägungen folgt, dass das auf zehn Jahre bemessene Einrei­severbot Bundesrecht verletzt (vgl. Art. 49 VwVG). Die Beschwerde ist daher teilweise gutzuheissen und das gegen den Beschwerdeführer ver­hängte Einreiseverbot auf drei Jahre, bis zum 4. März 2013, zu befristen.</w:t>
      </w:r>
    </w:p>
    <w:p>
      <w:r>
        <w:rPr>
          <w:b/>
        </w:rPr>
        <w:t>E. 9.1</w:t>
      </w:r>
    </w:p>
    <w:p>
      <w:r>
        <w:t>Bei diesem Ausgang des Verfahrens sind die ermässigten Verfahrenskosten dem Beschwerdeführer aufzuerlegen und mit dem geleisteten Kostenvorschuss zu verrechnen (Art. 63 Abs. 1 VwVG i.V.m. Art. 1, Art. 2 und Art. 3 Bst. b des Reglements vom 21. Februar 2008 über die Kosten und Entschädigungen vor dem Bundesverwaltungsgericht [VGKE, SR 173.320.2]. Der Restbetrag ist zurückzuerstatten. Im Umfang des Obsiegens ist dem Beschwerdeführer eine gekürzte Parteientschädigung in gerichtlich festzusetzender Höhe zuzusprechen (Art. 64 Abs. 1 VwVG i.V.m. Art. 7 ff. VGKE).</w:t>
      </w:r>
    </w:p>
    <w:p>
      <w:r>
        <w:rPr>
          <w:b/>
        </w:rPr>
        <w:t>E. 9.2</w:t>
      </w:r>
    </w:p>
    <w:p>
      <w:r>
        <w:t>Die Parteivertreterin ersucht mit Eingabe vom 2. August 2010 darum, die Zwischenverfügung des Bundesverwaltungsgerichts vom 21. Juni 2010 betreffend Abweisung des Gesuches um unentgeltliche Rechtspflege in Wiedererwägung zu ziehen. Diesem Begehren ist - soweit durch die Rückerstattung eines Teils des Kostenvorschusses und der Ausrichtung einer reduzierten Parteientschädigung nicht hinfällig geworden - nicht stattzugeben. Zur Begründung kann im Wesentlichen auf die Ausführungen in der obgenannten Zwischenverfügung verwiesen werden. Seither haben sich die Verhältnisse des Beschwerdeführers nicht derart entwickelt, dass er etwas für sich ableiten könnte. Vielmehr ist unverändert davon auszugehen, dass Ressourcen vorhanden sind, auf welche der Betroffene im Bedarfsfall zurückgreifen kann. Dafür sprechen nur schon der gepflegte Lebensstil und die rege Reisetätigkeit. Bekannt ist ferner, dass er Miteigentümer einer Liegenschaft in New York ist und er sich im Frühjahr 2010 nach dem Verlassen der Schweiz hat Pensionskassengelder auszahlen lassen (vgl. nochmals Eingabe vom 2. August 2010). Zudem stehen dem Beschwerdeführer diverse Forderungen und teure Wertgegenstände zu (vgl. dazu Ziff. 7 und 9 des Entscheids des Obergerichts des Kantons Luzern vom 7. Juli 2010). Die Voraussetzungen von Art. 65 Abs. 1 und 2 VwVG sind somit nicht erfüllt.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